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213" w:rsidRDefault="00EA7213" w:rsidP="0025691E">
      <w:pPr>
        <w:jc w:val="center"/>
        <w:rPr>
          <w:b/>
          <w:sz w:val="28"/>
          <w:szCs w:val="28"/>
        </w:rPr>
      </w:pPr>
      <w:bookmarkStart w:id="0" w:name="_GoBack"/>
      <w:bookmarkEnd w:id="0"/>
      <w:r w:rsidRPr="00EA7213">
        <w:rPr>
          <w:b/>
          <w:noProof/>
        </w:rPr>
        <w:drawing>
          <wp:anchor distT="0" distB="0" distL="114300" distR="114300" simplePos="0" relativeHeight="251658240" behindDoc="0" locked="0" layoutInCell="1" allowOverlap="1" wp14:anchorId="5D001A56">
            <wp:simplePos x="0" y="0"/>
            <wp:positionH relativeFrom="margin">
              <wp:align>right</wp:align>
            </wp:positionH>
            <wp:positionV relativeFrom="paragraph">
              <wp:posOffset>151765</wp:posOffset>
            </wp:positionV>
            <wp:extent cx="5486400" cy="3086100"/>
            <wp:effectExtent l="19050" t="19050" r="19050" b="1905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486400" cy="3086100"/>
                    </a:xfrm>
                    <a:prstGeom prst="rect">
                      <a:avLst/>
                    </a:prstGeom>
                    <a:ln>
                      <a:solidFill>
                        <a:schemeClr val="tx1">
                          <a:lumMod val="95000"/>
                          <a:lumOff val="5000"/>
                        </a:schemeClr>
                      </a:solidFill>
                    </a:ln>
                  </pic:spPr>
                </pic:pic>
              </a:graphicData>
            </a:graphic>
          </wp:anchor>
        </w:drawing>
      </w:r>
    </w:p>
    <w:p w:rsidR="00EA7213" w:rsidRDefault="00EA7213">
      <w:pPr>
        <w:rPr>
          <w:b/>
          <w:sz w:val="28"/>
          <w:szCs w:val="28"/>
        </w:rPr>
      </w:pPr>
    </w:p>
    <w:p w:rsidR="00EA7213" w:rsidRDefault="00EA7213" w:rsidP="0025691E">
      <w:pPr>
        <w:jc w:val="center"/>
        <w:rPr>
          <w:b/>
          <w:sz w:val="28"/>
          <w:szCs w:val="28"/>
        </w:rPr>
      </w:pPr>
      <w:r w:rsidRPr="00EA7213">
        <w:rPr>
          <w:b/>
          <w:noProof/>
          <w:sz w:val="28"/>
          <w:szCs w:val="28"/>
        </w:rPr>
        <w:drawing>
          <wp:anchor distT="0" distB="0" distL="114300" distR="114300" simplePos="0" relativeHeight="251660288" behindDoc="0" locked="0" layoutInCell="1" allowOverlap="1" wp14:anchorId="7F3D9030">
            <wp:simplePos x="0" y="0"/>
            <wp:positionH relativeFrom="column">
              <wp:posOffset>0</wp:posOffset>
            </wp:positionH>
            <wp:positionV relativeFrom="paragraph">
              <wp:posOffset>-181</wp:posOffset>
            </wp:positionV>
            <wp:extent cx="5486400" cy="3086100"/>
            <wp:effectExtent l="19050" t="19050" r="19050" b="1905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486400" cy="3086100"/>
                    </a:xfrm>
                    <a:prstGeom prst="rect">
                      <a:avLst/>
                    </a:prstGeom>
                    <a:ln>
                      <a:solidFill>
                        <a:schemeClr val="tx1">
                          <a:lumMod val="95000"/>
                          <a:lumOff val="5000"/>
                        </a:schemeClr>
                      </a:solidFill>
                    </a:ln>
                  </pic:spPr>
                </pic:pic>
              </a:graphicData>
            </a:graphic>
          </wp:anchor>
        </w:drawing>
      </w:r>
    </w:p>
    <w:p w:rsidR="00EA7213" w:rsidRDefault="00EA7213" w:rsidP="0025691E">
      <w:pPr>
        <w:jc w:val="center"/>
        <w:rPr>
          <w:b/>
          <w:sz w:val="28"/>
          <w:szCs w:val="28"/>
        </w:rPr>
      </w:pPr>
    </w:p>
    <w:p w:rsidR="00EA7213" w:rsidRDefault="00EA7213" w:rsidP="0025691E">
      <w:pPr>
        <w:jc w:val="center"/>
        <w:rPr>
          <w:b/>
          <w:sz w:val="28"/>
          <w:szCs w:val="28"/>
        </w:rPr>
      </w:pPr>
    </w:p>
    <w:p w:rsidR="00EA7213" w:rsidRDefault="00EA7213" w:rsidP="0025691E">
      <w:pPr>
        <w:jc w:val="center"/>
        <w:rPr>
          <w:b/>
          <w:sz w:val="28"/>
          <w:szCs w:val="28"/>
        </w:rPr>
      </w:pPr>
      <w:r w:rsidRPr="00EA7213">
        <w:rPr>
          <w:b/>
          <w:noProof/>
          <w:sz w:val="28"/>
          <w:szCs w:val="28"/>
        </w:rPr>
        <w:lastRenderedPageBreak/>
        <w:drawing>
          <wp:anchor distT="0" distB="0" distL="114300" distR="114300" simplePos="0" relativeHeight="251661312" behindDoc="0" locked="0" layoutInCell="1" allowOverlap="1" wp14:anchorId="291EB61F">
            <wp:simplePos x="0" y="0"/>
            <wp:positionH relativeFrom="column">
              <wp:posOffset>0</wp:posOffset>
            </wp:positionH>
            <wp:positionV relativeFrom="paragraph">
              <wp:posOffset>-181</wp:posOffset>
            </wp:positionV>
            <wp:extent cx="5486400" cy="3086100"/>
            <wp:effectExtent l="19050" t="19050" r="19050" b="190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86400" cy="3086100"/>
                    </a:xfrm>
                    <a:prstGeom prst="rect">
                      <a:avLst/>
                    </a:prstGeom>
                    <a:ln>
                      <a:solidFill>
                        <a:schemeClr val="tx1">
                          <a:lumMod val="95000"/>
                          <a:lumOff val="5000"/>
                        </a:schemeClr>
                      </a:solidFill>
                    </a:ln>
                  </pic:spPr>
                </pic:pic>
              </a:graphicData>
            </a:graphic>
          </wp:anchor>
        </w:drawing>
      </w:r>
    </w:p>
    <w:p w:rsidR="00EA7213" w:rsidRDefault="00EA7213">
      <w:pPr>
        <w:rPr>
          <w:b/>
          <w:sz w:val="28"/>
          <w:szCs w:val="28"/>
        </w:rPr>
      </w:pPr>
      <w:r>
        <w:rPr>
          <w:b/>
          <w:sz w:val="28"/>
          <w:szCs w:val="28"/>
        </w:rPr>
        <w:br w:type="page"/>
      </w:r>
    </w:p>
    <w:p w:rsidR="00DC32BC" w:rsidRPr="0025691E" w:rsidRDefault="00A223A9" w:rsidP="0025691E">
      <w:pPr>
        <w:jc w:val="center"/>
        <w:rPr>
          <w:b/>
          <w:sz w:val="28"/>
          <w:szCs w:val="28"/>
        </w:rPr>
      </w:pPr>
      <w:r w:rsidRPr="0025691E">
        <w:rPr>
          <w:rFonts w:hint="eastAsia"/>
          <w:b/>
          <w:sz w:val="28"/>
          <w:szCs w:val="28"/>
        </w:rPr>
        <w:lastRenderedPageBreak/>
        <w:t>十二年國教各項課程、教學、評量工作之檢核表</w:t>
      </w:r>
    </w:p>
    <w:p w:rsidR="0025691E" w:rsidRDefault="0025691E" w:rsidP="0025691E">
      <w:pPr>
        <w:jc w:val="center"/>
      </w:pPr>
      <w:r>
        <w:rPr>
          <w:rFonts w:hint="eastAsia"/>
        </w:rPr>
        <w:t>台北大學師資培育中心  吳璧純  教授</w:t>
      </w:r>
    </w:p>
    <w:p w:rsidR="00A223A9" w:rsidRPr="00A721D0" w:rsidRDefault="00543968">
      <w:pPr>
        <w:rPr>
          <w:b/>
        </w:rPr>
      </w:pPr>
      <w:r>
        <w:rPr>
          <w:rFonts w:hint="eastAsia"/>
          <w:b/>
        </w:rPr>
        <w:t>一、學校總體課程</w:t>
      </w:r>
      <w:r w:rsidR="00AF4069" w:rsidRPr="00A721D0">
        <w:rPr>
          <w:rFonts w:hint="eastAsia"/>
          <w:b/>
        </w:rPr>
        <w:t>建構</w:t>
      </w:r>
      <w:r w:rsidR="009926C9">
        <w:rPr>
          <w:rFonts w:hint="eastAsia"/>
          <w:b/>
        </w:rPr>
        <w:t xml:space="preserve"> </w:t>
      </w:r>
      <w:r w:rsidR="00AF4069" w:rsidRPr="00A721D0">
        <w:rPr>
          <w:rFonts w:hint="eastAsia"/>
          <w:b/>
        </w:rPr>
        <w:t>(課程繪圖)</w:t>
      </w:r>
      <w:r w:rsidR="0025691E" w:rsidRPr="00A721D0">
        <w:rPr>
          <w:b/>
        </w:rPr>
        <w:t xml:space="preserve">                                                     </w:t>
      </w:r>
    </w:p>
    <w:tbl>
      <w:tblPr>
        <w:tblStyle w:val="a3"/>
        <w:tblW w:w="9639" w:type="dxa"/>
        <w:tblInd w:w="-572" w:type="dxa"/>
        <w:tblLook w:val="04A0" w:firstRow="1" w:lastRow="0" w:firstColumn="1" w:lastColumn="0" w:noHBand="0" w:noVBand="1"/>
      </w:tblPr>
      <w:tblGrid>
        <w:gridCol w:w="1418"/>
        <w:gridCol w:w="2381"/>
        <w:gridCol w:w="4565"/>
        <w:gridCol w:w="1275"/>
      </w:tblGrid>
      <w:tr w:rsidR="00780B7C" w:rsidRPr="00F84F70" w:rsidTr="007913AE">
        <w:tc>
          <w:tcPr>
            <w:tcW w:w="9639" w:type="dxa"/>
            <w:gridSpan w:val="4"/>
            <w:shd w:val="clear" w:color="auto" w:fill="D9D9D9" w:themeFill="background1" w:themeFillShade="D9"/>
          </w:tcPr>
          <w:p w:rsidR="00780B7C" w:rsidRPr="00780B7C" w:rsidRDefault="00780B7C" w:rsidP="00780B7C">
            <w:pPr>
              <w:jc w:val="center"/>
              <w:rPr>
                <w:rFonts w:eastAsia="微軟正黑體"/>
                <w:b/>
              </w:rPr>
            </w:pPr>
            <w:r w:rsidRPr="00780B7C">
              <w:rPr>
                <w:rFonts w:eastAsia="微軟正黑體" w:hint="eastAsia"/>
                <w:b/>
              </w:rPr>
              <w:t>學校總體課程建構檢核表</w:t>
            </w:r>
          </w:p>
        </w:tc>
      </w:tr>
      <w:tr w:rsidR="00780B7C" w:rsidRPr="00F84F70" w:rsidTr="007913AE">
        <w:tc>
          <w:tcPr>
            <w:tcW w:w="1418" w:type="dxa"/>
            <w:shd w:val="clear" w:color="auto" w:fill="D9D9D9" w:themeFill="background1" w:themeFillShade="D9"/>
          </w:tcPr>
          <w:p w:rsidR="00780B7C" w:rsidRPr="00780B7C" w:rsidRDefault="00780B7C" w:rsidP="00780B7C">
            <w:pPr>
              <w:rPr>
                <w:rFonts w:eastAsia="微軟正黑體"/>
                <w:b/>
              </w:rPr>
            </w:pPr>
            <w:r w:rsidRPr="00780B7C">
              <w:rPr>
                <w:rFonts w:eastAsia="微軟正黑體" w:hint="eastAsia"/>
                <w:b/>
              </w:rPr>
              <w:t>面向</w:t>
            </w:r>
          </w:p>
        </w:tc>
        <w:tc>
          <w:tcPr>
            <w:tcW w:w="2381" w:type="dxa"/>
            <w:shd w:val="clear" w:color="auto" w:fill="D9D9D9" w:themeFill="background1" w:themeFillShade="D9"/>
          </w:tcPr>
          <w:p w:rsidR="00780B7C" w:rsidRPr="00780B7C" w:rsidRDefault="00780B7C" w:rsidP="00780B7C">
            <w:pPr>
              <w:rPr>
                <w:rFonts w:eastAsia="微軟正黑體"/>
                <w:b/>
              </w:rPr>
            </w:pPr>
            <w:r w:rsidRPr="00780B7C">
              <w:rPr>
                <w:rFonts w:eastAsia="微軟正黑體" w:hint="eastAsia"/>
                <w:b/>
              </w:rPr>
              <w:t>原則</w:t>
            </w:r>
          </w:p>
        </w:tc>
        <w:tc>
          <w:tcPr>
            <w:tcW w:w="4565" w:type="dxa"/>
            <w:shd w:val="clear" w:color="auto" w:fill="D9D9D9" w:themeFill="background1" w:themeFillShade="D9"/>
          </w:tcPr>
          <w:p w:rsidR="00780B7C" w:rsidRPr="00780B7C" w:rsidRDefault="00780B7C" w:rsidP="00780B7C">
            <w:pPr>
              <w:rPr>
                <w:rFonts w:eastAsia="微軟正黑體"/>
                <w:b/>
              </w:rPr>
            </w:pPr>
            <w:r w:rsidRPr="00780B7C">
              <w:rPr>
                <w:rFonts w:eastAsia="微軟正黑體" w:hint="eastAsia"/>
                <w:b/>
              </w:rPr>
              <w:t>內涵</w:t>
            </w:r>
          </w:p>
        </w:tc>
        <w:tc>
          <w:tcPr>
            <w:tcW w:w="1275" w:type="dxa"/>
            <w:shd w:val="clear" w:color="auto" w:fill="D9D9D9" w:themeFill="background1" w:themeFillShade="D9"/>
          </w:tcPr>
          <w:p w:rsidR="00780B7C" w:rsidRPr="00780B7C" w:rsidRDefault="00780B7C" w:rsidP="00780B7C">
            <w:pPr>
              <w:rPr>
                <w:rFonts w:eastAsia="微軟正黑體"/>
                <w:b/>
              </w:rPr>
            </w:pPr>
            <w:r w:rsidRPr="00780B7C">
              <w:rPr>
                <w:rFonts w:eastAsia="微軟正黑體" w:hint="eastAsia"/>
                <w:b/>
              </w:rPr>
              <w:t>做到打V</w:t>
            </w:r>
          </w:p>
        </w:tc>
      </w:tr>
      <w:tr w:rsidR="00780B7C" w:rsidTr="007913AE">
        <w:trPr>
          <w:trHeight w:val="495"/>
        </w:trPr>
        <w:tc>
          <w:tcPr>
            <w:tcW w:w="1418" w:type="dxa"/>
            <w:vMerge w:val="restart"/>
          </w:tcPr>
          <w:p w:rsidR="00780B7C" w:rsidRPr="00F84F70" w:rsidRDefault="00780B7C" w:rsidP="00780B7C">
            <w:pPr>
              <w:rPr>
                <w:rFonts w:asciiTheme="minorEastAsia" w:hAnsiTheme="minorEastAsia"/>
                <w:b/>
              </w:rPr>
            </w:pPr>
            <w:r>
              <w:rPr>
                <w:rFonts w:asciiTheme="minorEastAsia" w:hAnsiTheme="minorEastAsia" w:hint="eastAsia"/>
                <w:b/>
              </w:rPr>
              <w:t>課綱精神與法令規範</w:t>
            </w:r>
          </w:p>
        </w:tc>
        <w:tc>
          <w:tcPr>
            <w:tcW w:w="2381" w:type="dxa"/>
          </w:tcPr>
          <w:p w:rsidR="00780B7C" w:rsidRDefault="00780B7C" w:rsidP="00A721D0">
            <w:pPr>
              <w:ind w:left="178" w:hanging="178"/>
              <w:rPr>
                <w:rFonts w:asciiTheme="minorEastAsia" w:hAnsiTheme="minorEastAsia"/>
              </w:rPr>
            </w:pPr>
            <w:r>
              <w:rPr>
                <w:rFonts w:asciiTheme="minorEastAsia" w:hAnsiTheme="minorEastAsia" w:hint="eastAsia"/>
              </w:rPr>
              <w:t>1.核心素養導向</w:t>
            </w:r>
          </w:p>
        </w:tc>
        <w:tc>
          <w:tcPr>
            <w:tcW w:w="4565" w:type="dxa"/>
          </w:tcPr>
          <w:p w:rsidR="00780B7C" w:rsidRDefault="00780B7C" w:rsidP="00780B7C">
            <w:pPr>
              <w:rPr>
                <w:rFonts w:asciiTheme="minorEastAsia" w:hAnsiTheme="minorEastAsia"/>
              </w:rPr>
            </w:pPr>
            <w:r>
              <w:rPr>
                <w:rFonts w:asciiTheme="minorEastAsia" w:hAnsiTheme="minorEastAsia" w:hint="eastAsia"/>
              </w:rPr>
              <w:t>所有課程之設計、實施之成效最終導向三面九項之核心素養</w:t>
            </w:r>
          </w:p>
        </w:tc>
        <w:tc>
          <w:tcPr>
            <w:tcW w:w="1275" w:type="dxa"/>
          </w:tcPr>
          <w:p w:rsidR="00780B7C" w:rsidRDefault="00780B7C" w:rsidP="00780B7C">
            <w:pPr>
              <w:rPr>
                <w:rFonts w:asciiTheme="minorEastAsia" w:hAnsiTheme="minorEastAsia"/>
              </w:rPr>
            </w:pPr>
          </w:p>
        </w:tc>
      </w:tr>
      <w:tr w:rsidR="00780B7C" w:rsidTr="007913AE">
        <w:trPr>
          <w:trHeight w:val="525"/>
        </w:trPr>
        <w:tc>
          <w:tcPr>
            <w:tcW w:w="1418" w:type="dxa"/>
            <w:vMerge/>
          </w:tcPr>
          <w:p w:rsidR="00780B7C" w:rsidRDefault="00780B7C" w:rsidP="00780B7C">
            <w:pPr>
              <w:rPr>
                <w:rFonts w:asciiTheme="minorEastAsia" w:hAnsiTheme="minorEastAsia"/>
              </w:rPr>
            </w:pPr>
          </w:p>
        </w:tc>
        <w:tc>
          <w:tcPr>
            <w:tcW w:w="2381" w:type="dxa"/>
          </w:tcPr>
          <w:p w:rsidR="00780B7C" w:rsidRDefault="00780B7C" w:rsidP="00A721D0">
            <w:pPr>
              <w:ind w:left="178" w:hanging="178"/>
              <w:rPr>
                <w:rFonts w:asciiTheme="minorEastAsia" w:hAnsiTheme="minorEastAsia"/>
              </w:rPr>
            </w:pPr>
            <w:r>
              <w:rPr>
                <w:rFonts w:asciiTheme="minorEastAsia" w:hAnsiTheme="minorEastAsia" w:hint="eastAsia"/>
              </w:rPr>
              <w:t>2.部定課程學習重點</w:t>
            </w:r>
          </w:p>
          <w:p w:rsidR="00780B7C" w:rsidRDefault="00780B7C" w:rsidP="00A721D0">
            <w:pPr>
              <w:ind w:left="178" w:hanging="178"/>
              <w:rPr>
                <w:rFonts w:asciiTheme="minorEastAsia" w:hAnsiTheme="minorEastAsia"/>
              </w:rPr>
            </w:pPr>
          </w:p>
        </w:tc>
        <w:tc>
          <w:tcPr>
            <w:tcW w:w="4565" w:type="dxa"/>
          </w:tcPr>
          <w:p w:rsidR="00780B7C" w:rsidRDefault="00780B7C" w:rsidP="00780B7C">
            <w:pPr>
              <w:rPr>
                <w:rFonts w:asciiTheme="minorEastAsia" w:hAnsiTheme="minorEastAsia"/>
              </w:rPr>
            </w:pPr>
            <w:r>
              <w:rPr>
                <w:rFonts w:asciiTheme="minorEastAsia" w:hAnsiTheme="minorEastAsia" w:hint="eastAsia"/>
              </w:rPr>
              <w:t>教師皆能掌握部定之各領域學習表現與學習內容</w:t>
            </w:r>
          </w:p>
        </w:tc>
        <w:tc>
          <w:tcPr>
            <w:tcW w:w="1275" w:type="dxa"/>
          </w:tcPr>
          <w:p w:rsidR="00780B7C" w:rsidRDefault="00780B7C" w:rsidP="00780B7C">
            <w:pPr>
              <w:rPr>
                <w:rFonts w:asciiTheme="minorEastAsia" w:hAnsiTheme="minorEastAsia"/>
              </w:rPr>
            </w:pPr>
          </w:p>
        </w:tc>
      </w:tr>
      <w:tr w:rsidR="00780B7C" w:rsidTr="007913AE">
        <w:trPr>
          <w:trHeight w:val="450"/>
        </w:trPr>
        <w:tc>
          <w:tcPr>
            <w:tcW w:w="1418" w:type="dxa"/>
            <w:vMerge/>
          </w:tcPr>
          <w:p w:rsidR="00780B7C" w:rsidRDefault="00780B7C" w:rsidP="00780B7C">
            <w:pPr>
              <w:rPr>
                <w:rFonts w:asciiTheme="minorEastAsia" w:hAnsiTheme="minorEastAsia"/>
              </w:rPr>
            </w:pPr>
          </w:p>
        </w:tc>
        <w:tc>
          <w:tcPr>
            <w:tcW w:w="2381" w:type="dxa"/>
            <w:vMerge w:val="restart"/>
          </w:tcPr>
          <w:p w:rsidR="00780B7C" w:rsidRDefault="00780B7C" w:rsidP="00A721D0">
            <w:pPr>
              <w:ind w:left="178" w:hanging="178"/>
              <w:rPr>
                <w:rFonts w:asciiTheme="minorEastAsia" w:hAnsiTheme="minorEastAsia"/>
              </w:rPr>
            </w:pPr>
            <w:r>
              <w:rPr>
                <w:rFonts w:asciiTheme="minorEastAsia" w:hAnsiTheme="minorEastAsia" w:hint="eastAsia"/>
              </w:rPr>
              <w:t>3.符合校訂課程類型的課程發展規劃、設計與實施</w:t>
            </w:r>
          </w:p>
        </w:tc>
        <w:tc>
          <w:tcPr>
            <w:tcW w:w="4565" w:type="dxa"/>
          </w:tcPr>
          <w:p w:rsidR="00780B7C" w:rsidRDefault="00780B7C" w:rsidP="00780B7C">
            <w:pPr>
              <w:rPr>
                <w:rFonts w:asciiTheme="minorEastAsia" w:hAnsiTheme="minorEastAsia"/>
              </w:rPr>
            </w:pPr>
            <w:r>
              <w:rPr>
                <w:rFonts w:asciiTheme="minorEastAsia" w:hAnsiTheme="minorEastAsia" w:hint="eastAsia"/>
              </w:rPr>
              <w:t>教師皆能掌握校訂課程</w:t>
            </w:r>
            <w:r w:rsidR="00A721D0">
              <w:rPr>
                <w:rFonts w:asciiTheme="minorEastAsia" w:hAnsiTheme="minorEastAsia" w:hint="eastAsia"/>
              </w:rPr>
              <w:t>設計與實施</w:t>
            </w:r>
            <w:r>
              <w:rPr>
                <w:rFonts w:asciiTheme="minorEastAsia" w:hAnsiTheme="minorEastAsia" w:hint="eastAsia"/>
              </w:rPr>
              <w:t>之課綱法令規範</w:t>
            </w:r>
          </w:p>
        </w:tc>
        <w:tc>
          <w:tcPr>
            <w:tcW w:w="1275" w:type="dxa"/>
          </w:tcPr>
          <w:p w:rsidR="00780B7C" w:rsidRDefault="00780B7C" w:rsidP="00780B7C">
            <w:pPr>
              <w:rPr>
                <w:rFonts w:asciiTheme="minorEastAsia" w:hAnsiTheme="minorEastAsia"/>
              </w:rPr>
            </w:pPr>
          </w:p>
        </w:tc>
      </w:tr>
      <w:tr w:rsidR="00780B7C" w:rsidTr="007913AE">
        <w:trPr>
          <w:trHeight w:val="450"/>
        </w:trPr>
        <w:tc>
          <w:tcPr>
            <w:tcW w:w="1418" w:type="dxa"/>
            <w:vMerge/>
          </w:tcPr>
          <w:p w:rsidR="00780B7C" w:rsidRDefault="00780B7C" w:rsidP="00780B7C">
            <w:pPr>
              <w:rPr>
                <w:rFonts w:asciiTheme="minorEastAsia" w:hAnsiTheme="minorEastAsia"/>
              </w:rPr>
            </w:pPr>
          </w:p>
        </w:tc>
        <w:tc>
          <w:tcPr>
            <w:tcW w:w="2381" w:type="dxa"/>
            <w:vMerge/>
          </w:tcPr>
          <w:p w:rsidR="00780B7C" w:rsidRDefault="00780B7C" w:rsidP="00A721D0">
            <w:pPr>
              <w:ind w:left="178" w:hanging="178"/>
              <w:rPr>
                <w:rFonts w:asciiTheme="minorEastAsia" w:hAnsiTheme="minorEastAsia"/>
              </w:rPr>
            </w:pPr>
          </w:p>
        </w:tc>
        <w:tc>
          <w:tcPr>
            <w:tcW w:w="4565" w:type="dxa"/>
          </w:tcPr>
          <w:p w:rsidR="00780B7C" w:rsidRDefault="00780B7C" w:rsidP="00780B7C">
            <w:pPr>
              <w:rPr>
                <w:rFonts w:asciiTheme="minorEastAsia" w:hAnsiTheme="minorEastAsia"/>
              </w:rPr>
            </w:pPr>
            <w:r>
              <w:rPr>
                <w:rFonts w:asciiTheme="minorEastAsia" w:hAnsiTheme="minorEastAsia" w:hint="eastAsia"/>
              </w:rPr>
              <w:t>教師皆能掌握校訂課程跨域統整的意義與精神</w:t>
            </w:r>
          </w:p>
        </w:tc>
        <w:tc>
          <w:tcPr>
            <w:tcW w:w="1275" w:type="dxa"/>
          </w:tcPr>
          <w:p w:rsidR="00780B7C" w:rsidRDefault="00780B7C" w:rsidP="00780B7C">
            <w:pPr>
              <w:rPr>
                <w:rFonts w:asciiTheme="minorEastAsia" w:hAnsiTheme="minorEastAsia"/>
              </w:rPr>
            </w:pPr>
          </w:p>
        </w:tc>
      </w:tr>
      <w:tr w:rsidR="00780B7C" w:rsidTr="007913AE">
        <w:trPr>
          <w:trHeight w:val="419"/>
        </w:trPr>
        <w:tc>
          <w:tcPr>
            <w:tcW w:w="1418" w:type="dxa"/>
            <w:vMerge/>
          </w:tcPr>
          <w:p w:rsidR="00780B7C" w:rsidRDefault="00780B7C" w:rsidP="00780B7C">
            <w:pPr>
              <w:rPr>
                <w:rFonts w:asciiTheme="minorEastAsia" w:hAnsiTheme="minorEastAsia"/>
              </w:rPr>
            </w:pPr>
          </w:p>
        </w:tc>
        <w:tc>
          <w:tcPr>
            <w:tcW w:w="2381" w:type="dxa"/>
            <w:vMerge w:val="restart"/>
          </w:tcPr>
          <w:p w:rsidR="00780B7C" w:rsidRDefault="00780B7C" w:rsidP="00A721D0">
            <w:pPr>
              <w:ind w:left="178" w:hanging="178"/>
              <w:rPr>
                <w:rFonts w:asciiTheme="minorEastAsia" w:hAnsiTheme="minorEastAsia"/>
              </w:rPr>
            </w:pPr>
            <w:r>
              <w:rPr>
                <w:rFonts w:asciiTheme="minorEastAsia" w:hAnsiTheme="minorEastAsia" w:hint="eastAsia"/>
              </w:rPr>
              <w:t>4.時數分配與學校課程計畫</w:t>
            </w:r>
          </w:p>
        </w:tc>
        <w:tc>
          <w:tcPr>
            <w:tcW w:w="4565" w:type="dxa"/>
          </w:tcPr>
          <w:p w:rsidR="00780B7C" w:rsidRDefault="00A721D0" w:rsidP="00780B7C">
            <w:pPr>
              <w:rPr>
                <w:rFonts w:asciiTheme="minorEastAsia" w:hAnsiTheme="minorEastAsia"/>
              </w:rPr>
            </w:pPr>
            <w:r>
              <w:rPr>
                <w:rFonts w:asciiTheme="minorEastAsia" w:hAnsiTheme="minorEastAsia" w:hint="eastAsia"/>
              </w:rPr>
              <w:t>符合總綱所規範的授課時數</w:t>
            </w:r>
          </w:p>
        </w:tc>
        <w:tc>
          <w:tcPr>
            <w:tcW w:w="1275" w:type="dxa"/>
          </w:tcPr>
          <w:p w:rsidR="00780B7C" w:rsidRDefault="00780B7C" w:rsidP="00780B7C">
            <w:pPr>
              <w:rPr>
                <w:rFonts w:asciiTheme="minorEastAsia" w:hAnsiTheme="minorEastAsia"/>
              </w:rPr>
            </w:pPr>
          </w:p>
        </w:tc>
      </w:tr>
      <w:tr w:rsidR="00780B7C" w:rsidTr="007913AE">
        <w:tc>
          <w:tcPr>
            <w:tcW w:w="1418" w:type="dxa"/>
            <w:vMerge/>
          </w:tcPr>
          <w:p w:rsidR="00780B7C" w:rsidRDefault="00780B7C" w:rsidP="00780B7C">
            <w:pPr>
              <w:rPr>
                <w:rFonts w:asciiTheme="minorEastAsia" w:hAnsiTheme="minorEastAsia"/>
              </w:rPr>
            </w:pPr>
          </w:p>
        </w:tc>
        <w:tc>
          <w:tcPr>
            <w:tcW w:w="2381" w:type="dxa"/>
            <w:vMerge/>
          </w:tcPr>
          <w:p w:rsidR="00780B7C" w:rsidRDefault="00780B7C" w:rsidP="00A721D0">
            <w:pPr>
              <w:ind w:left="178" w:hanging="178"/>
              <w:rPr>
                <w:rFonts w:asciiTheme="minorEastAsia" w:hAnsiTheme="minorEastAsia"/>
              </w:rPr>
            </w:pPr>
          </w:p>
        </w:tc>
        <w:tc>
          <w:tcPr>
            <w:tcW w:w="4565" w:type="dxa"/>
          </w:tcPr>
          <w:p w:rsidR="00780B7C" w:rsidRDefault="00780B7C" w:rsidP="00780B7C">
            <w:pPr>
              <w:rPr>
                <w:rFonts w:asciiTheme="minorEastAsia" w:hAnsiTheme="minorEastAsia"/>
              </w:rPr>
            </w:pPr>
            <w:r>
              <w:rPr>
                <w:rFonts w:asciiTheme="minorEastAsia" w:hAnsiTheme="minorEastAsia" w:hint="eastAsia"/>
              </w:rPr>
              <w:t>符合各縣市政府課程計畫</w:t>
            </w:r>
            <w:r w:rsidR="00A721D0">
              <w:rPr>
                <w:rFonts w:asciiTheme="minorEastAsia" w:hAnsiTheme="minorEastAsia" w:hint="eastAsia"/>
              </w:rPr>
              <w:t>備查基準</w:t>
            </w:r>
            <w:r>
              <w:rPr>
                <w:rFonts w:asciiTheme="minorEastAsia" w:hAnsiTheme="minorEastAsia" w:hint="eastAsia"/>
              </w:rPr>
              <w:t>之要求</w:t>
            </w:r>
          </w:p>
        </w:tc>
        <w:tc>
          <w:tcPr>
            <w:tcW w:w="1275" w:type="dxa"/>
          </w:tcPr>
          <w:p w:rsidR="00780B7C" w:rsidRDefault="00780B7C" w:rsidP="00780B7C">
            <w:pPr>
              <w:rPr>
                <w:rFonts w:asciiTheme="minorEastAsia" w:hAnsiTheme="minorEastAsia"/>
              </w:rPr>
            </w:pPr>
          </w:p>
        </w:tc>
      </w:tr>
      <w:tr w:rsidR="00780B7C" w:rsidTr="007913AE">
        <w:tc>
          <w:tcPr>
            <w:tcW w:w="1418" w:type="dxa"/>
            <w:vMerge/>
          </w:tcPr>
          <w:p w:rsidR="00780B7C" w:rsidRDefault="00780B7C" w:rsidP="00780B7C">
            <w:pPr>
              <w:rPr>
                <w:rFonts w:asciiTheme="minorEastAsia" w:hAnsiTheme="minorEastAsia"/>
              </w:rPr>
            </w:pPr>
          </w:p>
        </w:tc>
        <w:tc>
          <w:tcPr>
            <w:tcW w:w="2381" w:type="dxa"/>
          </w:tcPr>
          <w:p w:rsidR="00780B7C" w:rsidRDefault="00780B7C" w:rsidP="00A721D0">
            <w:pPr>
              <w:ind w:left="178" w:hanging="178"/>
              <w:rPr>
                <w:rFonts w:asciiTheme="minorEastAsia" w:hAnsiTheme="minorEastAsia"/>
              </w:rPr>
            </w:pPr>
            <w:r>
              <w:rPr>
                <w:rFonts w:asciiTheme="minorEastAsia" w:hAnsiTheme="minorEastAsia" w:hint="eastAsia"/>
              </w:rPr>
              <w:t>5.核心素養評量</w:t>
            </w:r>
          </w:p>
        </w:tc>
        <w:tc>
          <w:tcPr>
            <w:tcW w:w="4565" w:type="dxa"/>
          </w:tcPr>
          <w:p w:rsidR="00780B7C" w:rsidRDefault="00780B7C" w:rsidP="00780B7C">
            <w:pPr>
              <w:rPr>
                <w:rFonts w:asciiTheme="minorEastAsia" w:hAnsiTheme="minorEastAsia"/>
              </w:rPr>
            </w:pPr>
            <w:r>
              <w:rPr>
                <w:rFonts w:asciiTheme="minorEastAsia" w:hAnsiTheme="minorEastAsia" w:hint="eastAsia"/>
              </w:rPr>
              <w:t>依據課程目標或藉由課程評鑑，檢核階段性學生核心素養的表現</w:t>
            </w:r>
          </w:p>
        </w:tc>
        <w:tc>
          <w:tcPr>
            <w:tcW w:w="1275" w:type="dxa"/>
          </w:tcPr>
          <w:p w:rsidR="00780B7C" w:rsidRDefault="00780B7C" w:rsidP="00780B7C">
            <w:pPr>
              <w:rPr>
                <w:rFonts w:asciiTheme="minorEastAsia" w:hAnsiTheme="minorEastAsia"/>
              </w:rPr>
            </w:pPr>
          </w:p>
        </w:tc>
      </w:tr>
      <w:tr w:rsidR="00780B7C" w:rsidTr="007913AE">
        <w:trPr>
          <w:trHeight w:val="555"/>
        </w:trPr>
        <w:tc>
          <w:tcPr>
            <w:tcW w:w="1418" w:type="dxa"/>
            <w:vMerge w:val="restart"/>
          </w:tcPr>
          <w:p w:rsidR="00780B7C" w:rsidRPr="00F84F70" w:rsidRDefault="00780B7C" w:rsidP="00780B7C">
            <w:pPr>
              <w:rPr>
                <w:rFonts w:asciiTheme="minorEastAsia" w:hAnsiTheme="minorEastAsia"/>
                <w:b/>
              </w:rPr>
            </w:pPr>
            <w:r>
              <w:rPr>
                <w:rFonts w:asciiTheme="minorEastAsia" w:hAnsiTheme="minorEastAsia" w:hint="eastAsia"/>
                <w:b/>
              </w:rPr>
              <w:t>學校</w:t>
            </w:r>
            <w:r w:rsidRPr="00F84F70">
              <w:rPr>
                <w:rFonts w:asciiTheme="minorEastAsia" w:hAnsiTheme="minorEastAsia" w:hint="eastAsia"/>
                <w:b/>
              </w:rPr>
              <w:t>本位</w:t>
            </w:r>
            <w:r>
              <w:rPr>
                <w:rFonts w:asciiTheme="minorEastAsia" w:hAnsiTheme="minorEastAsia" w:hint="eastAsia"/>
                <w:b/>
              </w:rPr>
              <w:t>課程</w:t>
            </w:r>
          </w:p>
        </w:tc>
        <w:tc>
          <w:tcPr>
            <w:tcW w:w="2381" w:type="dxa"/>
          </w:tcPr>
          <w:p w:rsidR="00780B7C" w:rsidRDefault="00780B7C" w:rsidP="00A721D0">
            <w:pPr>
              <w:ind w:left="178" w:hanging="178"/>
              <w:rPr>
                <w:rFonts w:asciiTheme="minorEastAsia" w:hAnsiTheme="minorEastAsia"/>
              </w:rPr>
            </w:pPr>
            <w:r>
              <w:rPr>
                <w:rFonts w:asciiTheme="minorEastAsia" w:hAnsiTheme="minorEastAsia" w:hint="eastAsia"/>
              </w:rPr>
              <w:t>1.學校願景與學生圖像、課程目標之關聯建構</w:t>
            </w:r>
          </w:p>
        </w:tc>
        <w:tc>
          <w:tcPr>
            <w:tcW w:w="4565" w:type="dxa"/>
          </w:tcPr>
          <w:p w:rsidR="00780B7C" w:rsidRDefault="00780B7C" w:rsidP="00780B7C">
            <w:pPr>
              <w:rPr>
                <w:rFonts w:asciiTheme="minorEastAsia" w:hAnsiTheme="minorEastAsia"/>
              </w:rPr>
            </w:pPr>
            <w:r>
              <w:rPr>
                <w:rFonts w:asciiTheme="minorEastAsia" w:hAnsiTheme="minorEastAsia" w:hint="eastAsia"/>
              </w:rPr>
              <w:t>課程領導人與全校教師皆能參與並理解學校願景、學生圖像、課程目標建構之意義，並於課程實施後檢視修正</w:t>
            </w:r>
          </w:p>
        </w:tc>
        <w:tc>
          <w:tcPr>
            <w:tcW w:w="1275" w:type="dxa"/>
          </w:tcPr>
          <w:p w:rsidR="00780B7C" w:rsidRDefault="00780B7C" w:rsidP="00780B7C">
            <w:pPr>
              <w:rPr>
                <w:rFonts w:asciiTheme="minorEastAsia" w:hAnsiTheme="minorEastAsia"/>
              </w:rPr>
            </w:pPr>
          </w:p>
        </w:tc>
      </w:tr>
      <w:tr w:rsidR="00780B7C" w:rsidTr="007913AE">
        <w:trPr>
          <w:trHeight w:val="570"/>
        </w:trPr>
        <w:tc>
          <w:tcPr>
            <w:tcW w:w="1418" w:type="dxa"/>
            <w:vMerge/>
          </w:tcPr>
          <w:p w:rsidR="00780B7C" w:rsidRPr="00F84F70" w:rsidRDefault="00780B7C" w:rsidP="00780B7C">
            <w:pPr>
              <w:rPr>
                <w:rFonts w:asciiTheme="minorEastAsia" w:hAnsiTheme="minorEastAsia"/>
                <w:b/>
              </w:rPr>
            </w:pPr>
          </w:p>
        </w:tc>
        <w:tc>
          <w:tcPr>
            <w:tcW w:w="2381" w:type="dxa"/>
          </w:tcPr>
          <w:p w:rsidR="00780B7C" w:rsidRDefault="00780B7C" w:rsidP="00A721D0">
            <w:pPr>
              <w:ind w:left="178" w:hanging="178"/>
              <w:rPr>
                <w:rFonts w:asciiTheme="minorEastAsia" w:hAnsiTheme="minorEastAsia"/>
              </w:rPr>
            </w:pPr>
            <w:r>
              <w:rPr>
                <w:rFonts w:asciiTheme="minorEastAsia" w:hAnsiTheme="minorEastAsia" w:hint="eastAsia"/>
              </w:rPr>
              <w:t>2.核心素養與學校課程目標之對準</w:t>
            </w:r>
          </w:p>
        </w:tc>
        <w:tc>
          <w:tcPr>
            <w:tcW w:w="4565" w:type="dxa"/>
          </w:tcPr>
          <w:p w:rsidR="00780B7C" w:rsidRDefault="00780B7C" w:rsidP="00780B7C">
            <w:pPr>
              <w:rPr>
                <w:rFonts w:asciiTheme="minorEastAsia" w:hAnsiTheme="minorEastAsia"/>
              </w:rPr>
            </w:pPr>
            <w:r>
              <w:rPr>
                <w:rFonts w:asciiTheme="minorEastAsia" w:hAnsiTheme="minorEastAsia" w:hint="eastAsia"/>
              </w:rPr>
              <w:t>學校課程目標需涵括在三面九項核心素養之下</w:t>
            </w:r>
          </w:p>
          <w:p w:rsidR="00780B7C" w:rsidRPr="00A84955" w:rsidRDefault="00780B7C" w:rsidP="00780B7C">
            <w:pPr>
              <w:rPr>
                <w:rFonts w:asciiTheme="minorEastAsia" w:hAnsiTheme="minorEastAsia"/>
              </w:rPr>
            </w:pPr>
          </w:p>
        </w:tc>
        <w:tc>
          <w:tcPr>
            <w:tcW w:w="1275" w:type="dxa"/>
          </w:tcPr>
          <w:p w:rsidR="00780B7C" w:rsidRDefault="00780B7C" w:rsidP="00780B7C">
            <w:pPr>
              <w:rPr>
                <w:rFonts w:asciiTheme="minorEastAsia" w:hAnsiTheme="minorEastAsia"/>
              </w:rPr>
            </w:pPr>
          </w:p>
          <w:p w:rsidR="00780B7C" w:rsidRDefault="00780B7C" w:rsidP="00780B7C">
            <w:pPr>
              <w:rPr>
                <w:rFonts w:asciiTheme="minorEastAsia" w:hAnsiTheme="minorEastAsia"/>
              </w:rPr>
            </w:pPr>
          </w:p>
        </w:tc>
      </w:tr>
      <w:tr w:rsidR="00780B7C" w:rsidTr="007913AE">
        <w:trPr>
          <w:trHeight w:val="570"/>
        </w:trPr>
        <w:tc>
          <w:tcPr>
            <w:tcW w:w="1418" w:type="dxa"/>
            <w:vMerge/>
          </w:tcPr>
          <w:p w:rsidR="00780B7C" w:rsidRPr="00F84F70" w:rsidRDefault="00780B7C" w:rsidP="00780B7C">
            <w:pPr>
              <w:rPr>
                <w:rFonts w:asciiTheme="minorEastAsia" w:hAnsiTheme="minorEastAsia"/>
                <w:b/>
              </w:rPr>
            </w:pPr>
          </w:p>
        </w:tc>
        <w:tc>
          <w:tcPr>
            <w:tcW w:w="2381" w:type="dxa"/>
          </w:tcPr>
          <w:p w:rsidR="00780B7C" w:rsidRDefault="00780B7C" w:rsidP="00A721D0">
            <w:pPr>
              <w:ind w:left="178" w:hanging="178"/>
              <w:rPr>
                <w:rFonts w:asciiTheme="minorEastAsia" w:hAnsiTheme="minorEastAsia"/>
              </w:rPr>
            </w:pPr>
            <w:r>
              <w:rPr>
                <w:rFonts w:asciiTheme="minorEastAsia" w:hAnsiTheme="minorEastAsia" w:hint="eastAsia"/>
              </w:rPr>
              <w:t>3.學校課程之資源與支援之整合與運用</w:t>
            </w:r>
          </w:p>
        </w:tc>
        <w:tc>
          <w:tcPr>
            <w:tcW w:w="4565" w:type="dxa"/>
          </w:tcPr>
          <w:p w:rsidR="00780B7C" w:rsidRDefault="00780B7C" w:rsidP="00780B7C">
            <w:pPr>
              <w:rPr>
                <w:rFonts w:asciiTheme="minorEastAsia" w:hAnsiTheme="minorEastAsia"/>
              </w:rPr>
            </w:pPr>
            <w:r>
              <w:rPr>
                <w:rFonts w:asciiTheme="minorEastAsia" w:hAnsiTheme="minorEastAsia" w:hint="eastAsia"/>
              </w:rPr>
              <w:t>學校應盤整與善用地區、政府資源，促進核心素養本位課程之規劃與實施</w:t>
            </w:r>
          </w:p>
        </w:tc>
        <w:tc>
          <w:tcPr>
            <w:tcW w:w="1275" w:type="dxa"/>
          </w:tcPr>
          <w:p w:rsidR="00780B7C" w:rsidRDefault="00780B7C" w:rsidP="00780B7C">
            <w:pPr>
              <w:rPr>
                <w:rFonts w:asciiTheme="minorEastAsia" w:hAnsiTheme="minorEastAsia"/>
              </w:rPr>
            </w:pPr>
          </w:p>
        </w:tc>
      </w:tr>
      <w:tr w:rsidR="00780B7C" w:rsidTr="007913AE">
        <w:trPr>
          <w:trHeight w:val="525"/>
        </w:trPr>
        <w:tc>
          <w:tcPr>
            <w:tcW w:w="1418" w:type="dxa"/>
            <w:vMerge/>
          </w:tcPr>
          <w:p w:rsidR="00780B7C" w:rsidRPr="00F84F70" w:rsidRDefault="00780B7C" w:rsidP="00780B7C">
            <w:pPr>
              <w:rPr>
                <w:rFonts w:asciiTheme="minorEastAsia" w:hAnsiTheme="minorEastAsia"/>
                <w:b/>
              </w:rPr>
            </w:pPr>
          </w:p>
        </w:tc>
        <w:tc>
          <w:tcPr>
            <w:tcW w:w="2381" w:type="dxa"/>
          </w:tcPr>
          <w:p w:rsidR="00780B7C" w:rsidRDefault="00780B7C" w:rsidP="00A721D0">
            <w:pPr>
              <w:ind w:left="178" w:hanging="178"/>
              <w:rPr>
                <w:rFonts w:asciiTheme="minorEastAsia" w:hAnsiTheme="minorEastAsia"/>
              </w:rPr>
            </w:pPr>
            <w:r>
              <w:rPr>
                <w:rFonts w:asciiTheme="minorEastAsia" w:hAnsiTheme="minorEastAsia" w:hint="eastAsia"/>
              </w:rPr>
              <w:t>4.學校課程之統整性與程序性</w:t>
            </w:r>
          </w:p>
        </w:tc>
        <w:tc>
          <w:tcPr>
            <w:tcW w:w="4565" w:type="dxa"/>
          </w:tcPr>
          <w:p w:rsidR="00780B7C" w:rsidRDefault="00780B7C" w:rsidP="00780B7C">
            <w:pPr>
              <w:rPr>
                <w:rFonts w:asciiTheme="minorEastAsia" w:hAnsiTheme="minorEastAsia"/>
              </w:rPr>
            </w:pPr>
            <w:r>
              <w:rPr>
                <w:rFonts w:asciiTheme="minorEastAsia" w:hAnsiTheme="minorEastAsia" w:hint="eastAsia"/>
              </w:rPr>
              <w:t>學校課程能依據學生發展、學習之需求與學生之統整學習，進行課程之統整規劃，並進行縱向與橫向之連結，安排適宜的程序與學習進路</w:t>
            </w:r>
          </w:p>
        </w:tc>
        <w:tc>
          <w:tcPr>
            <w:tcW w:w="1275" w:type="dxa"/>
          </w:tcPr>
          <w:p w:rsidR="00780B7C" w:rsidRDefault="00780B7C" w:rsidP="00780B7C">
            <w:pPr>
              <w:rPr>
                <w:rFonts w:asciiTheme="minorEastAsia" w:hAnsiTheme="minorEastAsia"/>
              </w:rPr>
            </w:pPr>
          </w:p>
          <w:p w:rsidR="00780B7C" w:rsidRDefault="00780B7C" w:rsidP="00780B7C">
            <w:pPr>
              <w:rPr>
                <w:rFonts w:asciiTheme="minorEastAsia" w:hAnsiTheme="minorEastAsia"/>
              </w:rPr>
            </w:pPr>
          </w:p>
        </w:tc>
      </w:tr>
      <w:tr w:rsidR="00780B7C" w:rsidTr="007913AE">
        <w:trPr>
          <w:trHeight w:val="525"/>
        </w:trPr>
        <w:tc>
          <w:tcPr>
            <w:tcW w:w="1418" w:type="dxa"/>
            <w:vMerge/>
          </w:tcPr>
          <w:p w:rsidR="00780B7C" w:rsidRPr="00F84F70" w:rsidRDefault="00780B7C" w:rsidP="00780B7C">
            <w:pPr>
              <w:rPr>
                <w:rFonts w:asciiTheme="minorEastAsia" w:hAnsiTheme="minorEastAsia"/>
                <w:b/>
              </w:rPr>
            </w:pPr>
          </w:p>
        </w:tc>
        <w:tc>
          <w:tcPr>
            <w:tcW w:w="2381" w:type="dxa"/>
          </w:tcPr>
          <w:p w:rsidR="00780B7C" w:rsidRDefault="00780B7C" w:rsidP="00A721D0">
            <w:pPr>
              <w:ind w:left="178" w:hanging="178"/>
              <w:rPr>
                <w:rFonts w:asciiTheme="minorEastAsia" w:hAnsiTheme="minorEastAsia"/>
              </w:rPr>
            </w:pPr>
            <w:r>
              <w:rPr>
                <w:rFonts w:asciiTheme="minorEastAsia" w:hAnsiTheme="minorEastAsia" w:hint="eastAsia"/>
              </w:rPr>
              <w:t>5.學校教師課程發展知能之專業發展機制</w:t>
            </w:r>
          </w:p>
        </w:tc>
        <w:tc>
          <w:tcPr>
            <w:tcW w:w="4565" w:type="dxa"/>
          </w:tcPr>
          <w:p w:rsidR="00780B7C" w:rsidRDefault="00780B7C" w:rsidP="00780B7C">
            <w:pPr>
              <w:rPr>
                <w:rFonts w:asciiTheme="minorEastAsia" w:hAnsiTheme="minorEastAsia"/>
              </w:rPr>
            </w:pPr>
            <w:r>
              <w:rPr>
                <w:rFonts w:asciiTheme="minorEastAsia" w:hAnsiTheme="minorEastAsia" w:hint="eastAsia"/>
              </w:rPr>
              <w:t>學校需鼓勵教師學習社群的實質運作，並透過共備、觀、議之公開授課實施，促進教師課程與教學專業提升</w:t>
            </w:r>
          </w:p>
        </w:tc>
        <w:tc>
          <w:tcPr>
            <w:tcW w:w="1275" w:type="dxa"/>
          </w:tcPr>
          <w:p w:rsidR="00780B7C" w:rsidRDefault="00780B7C" w:rsidP="00780B7C">
            <w:pPr>
              <w:rPr>
                <w:rFonts w:asciiTheme="minorEastAsia" w:hAnsiTheme="minorEastAsia"/>
              </w:rPr>
            </w:pPr>
          </w:p>
        </w:tc>
      </w:tr>
      <w:tr w:rsidR="00780B7C" w:rsidTr="007913AE">
        <w:trPr>
          <w:trHeight w:val="390"/>
        </w:trPr>
        <w:tc>
          <w:tcPr>
            <w:tcW w:w="1418" w:type="dxa"/>
            <w:vMerge/>
          </w:tcPr>
          <w:p w:rsidR="00780B7C" w:rsidRPr="00F84F70" w:rsidRDefault="00780B7C" w:rsidP="00780B7C">
            <w:pPr>
              <w:rPr>
                <w:rFonts w:asciiTheme="minorEastAsia" w:hAnsiTheme="minorEastAsia"/>
                <w:b/>
              </w:rPr>
            </w:pPr>
          </w:p>
        </w:tc>
        <w:tc>
          <w:tcPr>
            <w:tcW w:w="2381" w:type="dxa"/>
            <w:vMerge w:val="restart"/>
          </w:tcPr>
          <w:p w:rsidR="00780B7C" w:rsidRPr="00F84F70" w:rsidRDefault="00780B7C" w:rsidP="00A721D0">
            <w:pPr>
              <w:ind w:left="178" w:hanging="178"/>
              <w:rPr>
                <w:rFonts w:asciiTheme="minorEastAsia" w:hAnsiTheme="minorEastAsia"/>
              </w:rPr>
            </w:pPr>
            <w:r>
              <w:rPr>
                <w:rFonts w:asciiTheme="minorEastAsia" w:hAnsiTheme="minorEastAsia" w:hint="eastAsia"/>
              </w:rPr>
              <w:t>6.各領域與各門校訂課程之素養導向教學設計與評量</w:t>
            </w:r>
          </w:p>
        </w:tc>
        <w:tc>
          <w:tcPr>
            <w:tcW w:w="4565" w:type="dxa"/>
          </w:tcPr>
          <w:p w:rsidR="00780B7C" w:rsidRDefault="00780B7C" w:rsidP="00780B7C">
            <w:pPr>
              <w:rPr>
                <w:rFonts w:asciiTheme="minorEastAsia" w:hAnsiTheme="minorEastAsia"/>
              </w:rPr>
            </w:pPr>
            <w:r>
              <w:rPr>
                <w:rFonts w:asciiTheme="minorEastAsia" w:hAnsiTheme="minorEastAsia" w:hint="eastAsia"/>
              </w:rPr>
              <w:t>各領域課程之教學與學習評量應符應素養目標，導向學生核心素養的養成</w:t>
            </w:r>
          </w:p>
        </w:tc>
        <w:tc>
          <w:tcPr>
            <w:tcW w:w="1275" w:type="dxa"/>
          </w:tcPr>
          <w:p w:rsidR="00780B7C" w:rsidRDefault="00780B7C" w:rsidP="00780B7C">
            <w:pPr>
              <w:rPr>
                <w:rFonts w:asciiTheme="minorEastAsia" w:hAnsiTheme="minorEastAsia"/>
              </w:rPr>
            </w:pPr>
          </w:p>
        </w:tc>
      </w:tr>
      <w:tr w:rsidR="00780B7C" w:rsidRPr="00A84955" w:rsidTr="007913AE">
        <w:trPr>
          <w:trHeight w:val="640"/>
        </w:trPr>
        <w:tc>
          <w:tcPr>
            <w:tcW w:w="1418" w:type="dxa"/>
            <w:vMerge/>
          </w:tcPr>
          <w:p w:rsidR="00780B7C" w:rsidRPr="00F84F70" w:rsidRDefault="00780B7C" w:rsidP="00780B7C">
            <w:pPr>
              <w:rPr>
                <w:rFonts w:asciiTheme="minorEastAsia" w:hAnsiTheme="minorEastAsia"/>
                <w:b/>
              </w:rPr>
            </w:pPr>
          </w:p>
        </w:tc>
        <w:tc>
          <w:tcPr>
            <w:tcW w:w="2381" w:type="dxa"/>
            <w:vMerge/>
          </w:tcPr>
          <w:p w:rsidR="00780B7C" w:rsidRDefault="00780B7C" w:rsidP="00780B7C">
            <w:pPr>
              <w:rPr>
                <w:rFonts w:asciiTheme="minorEastAsia" w:hAnsiTheme="minorEastAsia"/>
              </w:rPr>
            </w:pPr>
          </w:p>
        </w:tc>
        <w:tc>
          <w:tcPr>
            <w:tcW w:w="4565" w:type="dxa"/>
          </w:tcPr>
          <w:p w:rsidR="00780B7C" w:rsidRDefault="00780B7C" w:rsidP="00780B7C">
            <w:pPr>
              <w:rPr>
                <w:rFonts w:asciiTheme="minorEastAsia" w:hAnsiTheme="minorEastAsia"/>
              </w:rPr>
            </w:pPr>
            <w:r>
              <w:rPr>
                <w:rFonts w:asciiTheme="minorEastAsia" w:hAnsiTheme="minorEastAsia" w:hint="eastAsia"/>
              </w:rPr>
              <w:t>各校訂課程之教學與學習評量應符應素養目標，導向學生核心素養的養成</w:t>
            </w:r>
          </w:p>
        </w:tc>
        <w:tc>
          <w:tcPr>
            <w:tcW w:w="1275" w:type="dxa"/>
          </w:tcPr>
          <w:p w:rsidR="00780B7C" w:rsidRDefault="00780B7C" w:rsidP="00780B7C">
            <w:pPr>
              <w:rPr>
                <w:rFonts w:asciiTheme="minorEastAsia" w:hAnsiTheme="minorEastAsia"/>
              </w:rPr>
            </w:pPr>
          </w:p>
        </w:tc>
      </w:tr>
    </w:tbl>
    <w:p w:rsidR="007913AE" w:rsidRDefault="007913AE" w:rsidP="007913AE">
      <w:r>
        <w:t xml:space="preserve">                                                                                                             </w:t>
      </w:r>
      <w:r>
        <w:rPr>
          <w:rFonts w:hint="eastAsia"/>
        </w:rPr>
        <w:t>2</w:t>
      </w:r>
      <w:r>
        <w:t xml:space="preserve">021.09, </w:t>
      </w:r>
      <w:r>
        <w:rPr>
          <w:rFonts w:hint="eastAsia"/>
        </w:rPr>
        <w:t>吳璧純</w:t>
      </w:r>
    </w:p>
    <w:p w:rsidR="00AF4069" w:rsidRDefault="00AF4069"/>
    <w:p w:rsidR="00780B7C" w:rsidRPr="00855B97" w:rsidRDefault="0025691E">
      <w:pPr>
        <w:rPr>
          <w:b/>
        </w:rPr>
      </w:pPr>
      <w:r w:rsidRPr="00A721D0">
        <w:rPr>
          <w:rFonts w:hint="eastAsia"/>
          <w:b/>
        </w:rPr>
        <w:t>二、跨領域彈性學習方案設計</w:t>
      </w:r>
    </w:p>
    <w:tbl>
      <w:tblPr>
        <w:tblStyle w:val="a3"/>
        <w:tblW w:w="9923" w:type="dxa"/>
        <w:tblInd w:w="-856" w:type="dxa"/>
        <w:tblLook w:val="04A0" w:firstRow="1" w:lastRow="0" w:firstColumn="1" w:lastColumn="0" w:noHBand="0" w:noVBand="1"/>
      </w:tblPr>
      <w:tblGrid>
        <w:gridCol w:w="1702"/>
        <w:gridCol w:w="6628"/>
        <w:gridCol w:w="796"/>
        <w:gridCol w:w="797"/>
      </w:tblGrid>
      <w:tr w:rsidR="00780B7C" w:rsidTr="00A50843">
        <w:tc>
          <w:tcPr>
            <w:tcW w:w="9923" w:type="dxa"/>
            <w:gridSpan w:val="4"/>
            <w:shd w:val="clear" w:color="auto" w:fill="D9D9D9" w:themeFill="background1" w:themeFillShade="D9"/>
          </w:tcPr>
          <w:p w:rsidR="00780B7C" w:rsidRPr="00543968" w:rsidRDefault="00780B7C" w:rsidP="00780B7C">
            <w:pPr>
              <w:jc w:val="center"/>
              <w:rPr>
                <w:rFonts w:eastAsia="微軟正黑體"/>
                <w:b/>
              </w:rPr>
            </w:pPr>
            <w:r w:rsidRPr="00543968">
              <w:rPr>
                <w:rFonts w:eastAsia="微軟正黑體" w:hint="eastAsia"/>
                <w:b/>
              </w:rPr>
              <w:t>跨領域彈性學習課程發展之檢核表</w:t>
            </w:r>
          </w:p>
        </w:tc>
      </w:tr>
      <w:tr w:rsidR="00780B7C" w:rsidTr="00A50843">
        <w:tc>
          <w:tcPr>
            <w:tcW w:w="1702" w:type="dxa"/>
            <w:shd w:val="clear" w:color="auto" w:fill="D9D9D9" w:themeFill="background1" w:themeFillShade="D9"/>
          </w:tcPr>
          <w:p w:rsidR="00780B7C" w:rsidRPr="00543968" w:rsidRDefault="00780B7C">
            <w:pPr>
              <w:rPr>
                <w:rFonts w:eastAsia="微軟正黑體"/>
                <w:b/>
              </w:rPr>
            </w:pPr>
            <w:r w:rsidRPr="00543968">
              <w:rPr>
                <w:rFonts w:eastAsia="微軟正黑體" w:hint="eastAsia"/>
                <w:b/>
              </w:rPr>
              <w:t xml:space="preserve"> </w:t>
            </w:r>
            <w:r w:rsidR="00581662" w:rsidRPr="00543968">
              <w:rPr>
                <w:rFonts w:eastAsia="微軟正黑體" w:hint="eastAsia"/>
                <w:b/>
              </w:rPr>
              <w:t>面向</w:t>
            </w:r>
          </w:p>
        </w:tc>
        <w:tc>
          <w:tcPr>
            <w:tcW w:w="6628" w:type="dxa"/>
            <w:shd w:val="clear" w:color="auto" w:fill="D9D9D9" w:themeFill="background1" w:themeFillShade="D9"/>
          </w:tcPr>
          <w:p w:rsidR="00780B7C" w:rsidRPr="00543968" w:rsidRDefault="00581662">
            <w:pPr>
              <w:rPr>
                <w:rFonts w:eastAsia="微軟正黑體"/>
                <w:b/>
              </w:rPr>
            </w:pPr>
            <w:r w:rsidRPr="00543968">
              <w:rPr>
                <w:rFonts w:eastAsia="微軟正黑體" w:hint="eastAsia"/>
                <w:b/>
              </w:rPr>
              <w:t>原則</w:t>
            </w:r>
            <w:r w:rsidR="00662924" w:rsidRPr="00543968">
              <w:rPr>
                <w:rFonts w:eastAsia="微軟正黑體" w:hint="eastAsia"/>
                <w:b/>
              </w:rPr>
              <w:t>與</w:t>
            </w:r>
            <w:r w:rsidRPr="00543968">
              <w:rPr>
                <w:rFonts w:eastAsia="微軟正黑體" w:hint="eastAsia"/>
                <w:b/>
              </w:rPr>
              <w:t>內涵</w:t>
            </w:r>
          </w:p>
        </w:tc>
        <w:tc>
          <w:tcPr>
            <w:tcW w:w="1593" w:type="dxa"/>
            <w:gridSpan w:val="2"/>
            <w:shd w:val="clear" w:color="auto" w:fill="D9D9D9" w:themeFill="background1" w:themeFillShade="D9"/>
          </w:tcPr>
          <w:p w:rsidR="00780B7C" w:rsidRPr="00543968" w:rsidRDefault="00780B7C">
            <w:pPr>
              <w:rPr>
                <w:rFonts w:eastAsia="微軟正黑體"/>
                <w:b/>
              </w:rPr>
            </w:pPr>
            <w:r w:rsidRPr="00543968">
              <w:rPr>
                <w:rFonts w:eastAsia="微軟正黑體" w:hint="eastAsia"/>
                <w:b/>
              </w:rPr>
              <w:t>做到打V</w:t>
            </w:r>
          </w:p>
        </w:tc>
      </w:tr>
      <w:tr w:rsidR="00780B7C" w:rsidTr="00A50843">
        <w:trPr>
          <w:trHeight w:val="360"/>
        </w:trPr>
        <w:tc>
          <w:tcPr>
            <w:tcW w:w="1702" w:type="dxa"/>
            <w:vMerge w:val="restart"/>
          </w:tcPr>
          <w:p w:rsidR="00780B7C" w:rsidRPr="00581662" w:rsidRDefault="00780B7C">
            <w:pPr>
              <w:rPr>
                <w:b/>
              </w:rPr>
            </w:pPr>
            <w:r w:rsidRPr="00581662">
              <w:rPr>
                <w:rFonts w:hint="eastAsia"/>
                <w:b/>
              </w:rPr>
              <w:t>跨領域</w:t>
            </w:r>
          </w:p>
          <w:p w:rsidR="00780B7C" w:rsidRPr="00581662" w:rsidRDefault="00780B7C">
            <w:pPr>
              <w:rPr>
                <w:b/>
              </w:rPr>
            </w:pPr>
            <w:r w:rsidRPr="00581662">
              <w:rPr>
                <w:rFonts w:hint="eastAsia"/>
                <w:b/>
              </w:rPr>
              <w:t>(</w:t>
            </w:r>
            <w:r w:rsidR="007913AE" w:rsidRPr="00581662">
              <w:rPr>
                <w:rFonts w:hint="eastAsia"/>
                <w:b/>
              </w:rPr>
              <w:t>1.</w:t>
            </w:r>
            <w:r w:rsidR="007913AE" w:rsidRPr="00581662">
              <w:rPr>
                <w:rFonts w:hint="eastAsia"/>
                <w:b/>
              </w:rPr>
              <w:t>或</w:t>
            </w:r>
            <w:r w:rsidR="007913AE" w:rsidRPr="00581662">
              <w:rPr>
                <w:b/>
              </w:rPr>
              <w:t>2.</w:t>
            </w:r>
            <w:r w:rsidRPr="00581662">
              <w:rPr>
                <w:rFonts w:hint="eastAsia"/>
                <w:b/>
              </w:rPr>
              <w:t>擇一</w:t>
            </w:r>
            <w:r w:rsidRPr="00581662">
              <w:rPr>
                <w:rFonts w:hint="eastAsia"/>
                <w:b/>
              </w:rPr>
              <w:t>)</w:t>
            </w:r>
          </w:p>
        </w:tc>
        <w:tc>
          <w:tcPr>
            <w:tcW w:w="6628" w:type="dxa"/>
          </w:tcPr>
          <w:p w:rsidR="00780B7C" w:rsidRDefault="00780B7C">
            <w:r>
              <w:t>1.</w:t>
            </w:r>
            <w:r>
              <w:rPr>
                <w:rFonts w:hint="eastAsia"/>
              </w:rPr>
              <w:t>引用兩個以上領域的學習重點</w:t>
            </w:r>
          </w:p>
        </w:tc>
        <w:tc>
          <w:tcPr>
            <w:tcW w:w="1593" w:type="dxa"/>
            <w:gridSpan w:val="2"/>
          </w:tcPr>
          <w:p w:rsidR="00780B7C" w:rsidRDefault="00780B7C"/>
        </w:tc>
      </w:tr>
      <w:tr w:rsidR="00780B7C" w:rsidTr="00A50843">
        <w:trPr>
          <w:trHeight w:val="372"/>
        </w:trPr>
        <w:tc>
          <w:tcPr>
            <w:tcW w:w="1702" w:type="dxa"/>
            <w:vMerge/>
          </w:tcPr>
          <w:p w:rsidR="00780B7C" w:rsidRPr="00581662" w:rsidRDefault="00780B7C">
            <w:pPr>
              <w:rPr>
                <w:b/>
              </w:rPr>
            </w:pPr>
          </w:p>
        </w:tc>
        <w:tc>
          <w:tcPr>
            <w:tcW w:w="6628" w:type="dxa"/>
          </w:tcPr>
          <w:p w:rsidR="00780B7C" w:rsidRDefault="00780B7C">
            <w:r>
              <w:t>2.</w:t>
            </w:r>
            <w:r>
              <w:rPr>
                <w:rFonts w:hint="eastAsia"/>
              </w:rPr>
              <w:t>轉化兩個領域以上的學習重點</w:t>
            </w:r>
          </w:p>
        </w:tc>
        <w:tc>
          <w:tcPr>
            <w:tcW w:w="1593" w:type="dxa"/>
            <w:gridSpan w:val="2"/>
          </w:tcPr>
          <w:p w:rsidR="00780B7C" w:rsidRDefault="00780B7C"/>
        </w:tc>
      </w:tr>
      <w:tr w:rsidR="00780B7C" w:rsidTr="00A50843">
        <w:trPr>
          <w:trHeight w:val="455"/>
        </w:trPr>
        <w:tc>
          <w:tcPr>
            <w:tcW w:w="1702" w:type="dxa"/>
            <w:vMerge w:val="restart"/>
          </w:tcPr>
          <w:p w:rsidR="00780B7C" w:rsidRPr="00581662" w:rsidRDefault="00780B7C">
            <w:pPr>
              <w:rPr>
                <w:b/>
              </w:rPr>
            </w:pPr>
            <w:r w:rsidRPr="00581662">
              <w:rPr>
                <w:rFonts w:hint="eastAsia"/>
                <w:b/>
              </w:rPr>
              <w:t>統整</w:t>
            </w:r>
          </w:p>
        </w:tc>
        <w:tc>
          <w:tcPr>
            <w:tcW w:w="6628" w:type="dxa"/>
          </w:tcPr>
          <w:p w:rsidR="00780B7C" w:rsidRDefault="00780B7C" w:rsidP="00780B7C">
            <w:r>
              <w:rPr>
                <w:rFonts w:hint="eastAsia"/>
              </w:rPr>
              <w:t>1.</w:t>
            </w:r>
            <w:r>
              <w:rPr>
                <w:rFonts w:hint="eastAsia"/>
              </w:rPr>
              <w:t>這門課的學習能對應學校課程的主軸或目標</w:t>
            </w:r>
          </w:p>
        </w:tc>
        <w:tc>
          <w:tcPr>
            <w:tcW w:w="1593" w:type="dxa"/>
            <w:gridSpan w:val="2"/>
          </w:tcPr>
          <w:p w:rsidR="00780B7C" w:rsidRDefault="00780B7C"/>
        </w:tc>
      </w:tr>
      <w:tr w:rsidR="00162E48" w:rsidTr="00A50843">
        <w:trPr>
          <w:trHeight w:val="366"/>
        </w:trPr>
        <w:tc>
          <w:tcPr>
            <w:tcW w:w="1702" w:type="dxa"/>
            <w:vMerge/>
          </w:tcPr>
          <w:p w:rsidR="00162E48" w:rsidRDefault="00162E48"/>
        </w:tc>
        <w:tc>
          <w:tcPr>
            <w:tcW w:w="6628" w:type="dxa"/>
            <w:vMerge w:val="restart"/>
          </w:tcPr>
          <w:p w:rsidR="00162E48" w:rsidRDefault="00162E48" w:rsidP="00A721D0">
            <w:pPr>
              <w:ind w:left="178" w:hanging="178"/>
            </w:pPr>
            <w:r>
              <w:rPr>
                <w:rFonts w:hint="eastAsia"/>
              </w:rPr>
              <w:t>2.</w:t>
            </w:r>
            <w:r>
              <w:rPr>
                <w:rFonts w:hint="eastAsia"/>
              </w:rPr>
              <w:t>屬於科際整合課程</w:t>
            </w:r>
            <w:r>
              <w:rPr>
                <w:rFonts w:hint="eastAsia"/>
              </w:rPr>
              <w:t>(</w:t>
            </w:r>
            <w:r>
              <w:rPr>
                <w:rFonts w:hint="eastAsia"/>
              </w:rPr>
              <w:t>重組學科內容之概念邏輯，但仍看得出所學對象之學科屬性與界線</w:t>
            </w:r>
            <w:r>
              <w:rPr>
                <w:rFonts w:hint="eastAsia"/>
              </w:rPr>
              <w:t>)</w:t>
            </w:r>
            <w:r>
              <w:rPr>
                <w:rFonts w:hint="eastAsia"/>
              </w:rPr>
              <w:t>或超學科的統整課程</w:t>
            </w:r>
            <w:r>
              <w:rPr>
                <w:rFonts w:hint="eastAsia"/>
              </w:rPr>
              <w:t xml:space="preserve"> (</w:t>
            </w:r>
            <w:r>
              <w:rPr>
                <w:rFonts w:hint="eastAsia"/>
              </w:rPr>
              <w:t>打破學科界線，以跨領域的問題、思考技能、情意</w:t>
            </w:r>
            <w:r>
              <w:rPr>
                <w:rFonts w:hint="eastAsia"/>
              </w:rPr>
              <w:t>/</w:t>
            </w:r>
            <w:r>
              <w:rPr>
                <w:rFonts w:hint="eastAsia"/>
              </w:rPr>
              <w:t>價值重新組織學習素材，該素材無法明確區分屬於哪個單一領域</w:t>
            </w:r>
            <w:r>
              <w:rPr>
                <w:rFonts w:hint="eastAsia"/>
              </w:rPr>
              <w:t>)</w:t>
            </w:r>
          </w:p>
        </w:tc>
        <w:tc>
          <w:tcPr>
            <w:tcW w:w="796" w:type="dxa"/>
            <w:shd w:val="clear" w:color="auto" w:fill="D9D9D9" w:themeFill="background1" w:themeFillShade="D9"/>
          </w:tcPr>
          <w:p w:rsidR="00162E48" w:rsidRPr="00662924" w:rsidRDefault="00162E48" w:rsidP="00662924">
            <w:pPr>
              <w:jc w:val="center"/>
              <w:rPr>
                <w:b/>
              </w:rPr>
            </w:pPr>
            <w:r w:rsidRPr="00662924">
              <w:rPr>
                <w:rFonts w:hint="eastAsia"/>
                <w:b/>
              </w:rPr>
              <w:t>科</w:t>
            </w:r>
          </w:p>
        </w:tc>
        <w:tc>
          <w:tcPr>
            <w:tcW w:w="797" w:type="dxa"/>
            <w:shd w:val="clear" w:color="auto" w:fill="D9D9D9" w:themeFill="background1" w:themeFillShade="D9"/>
          </w:tcPr>
          <w:p w:rsidR="00162E48" w:rsidRPr="00662924" w:rsidRDefault="00162E48" w:rsidP="00662924">
            <w:pPr>
              <w:jc w:val="center"/>
              <w:rPr>
                <w:b/>
              </w:rPr>
            </w:pPr>
            <w:r w:rsidRPr="00662924">
              <w:rPr>
                <w:rFonts w:hint="eastAsia"/>
                <w:b/>
              </w:rPr>
              <w:t>超</w:t>
            </w:r>
          </w:p>
        </w:tc>
      </w:tr>
      <w:tr w:rsidR="00162E48" w:rsidTr="00A50843">
        <w:trPr>
          <w:trHeight w:val="1363"/>
        </w:trPr>
        <w:tc>
          <w:tcPr>
            <w:tcW w:w="1702" w:type="dxa"/>
            <w:vMerge/>
          </w:tcPr>
          <w:p w:rsidR="00162E48" w:rsidRDefault="00162E48"/>
        </w:tc>
        <w:tc>
          <w:tcPr>
            <w:tcW w:w="6628" w:type="dxa"/>
            <w:vMerge/>
          </w:tcPr>
          <w:p w:rsidR="00162E48" w:rsidRDefault="00162E48" w:rsidP="00780B7C"/>
        </w:tc>
        <w:tc>
          <w:tcPr>
            <w:tcW w:w="796" w:type="dxa"/>
          </w:tcPr>
          <w:p w:rsidR="00162E48" w:rsidRDefault="00162E48" w:rsidP="00162E48"/>
        </w:tc>
        <w:tc>
          <w:tcPr>
            <w:tcW w:w="797" w:type="dxa"/>
          </w:tcPr>
          <w:p w:rsidR="00162E48" w:rsidRDefault="00162E48" w:rsidP="00162E48"/>
        </w:tc>
      </w:tr>
      <w:tr w:rsidR="00162E48" w:rsidTr="00A721D0">
        <w:trPr>
          <w:trHeight w:val="546"/>
        </w:trPr>
        <w:tc>
          <w:tcPr>
            <w:tcW w:w="1702" w:type="dxa"/>
            <w:vMerge/>
          </w:tcPr>
          <w:p w:rsidR="00162E48" w:rsidRDefault="00162E48"/>
        </w:tc>
        <w:tc>
          <w:tcPr>
            <w:tcW w:w="6628" w:type="dxa"/>
          </w:tcPr>
          <w:p w:rsidR="00162E48" w:rsidRDefault="00162E48" w:rsidP="00162E48">
            <w:r>
              <w:t>3.</w:t>
            </w:r>
            <w:r>
              <w:rPr>
                <w:rFonts w:hint="eastAsia"/>
              </w:rPr>
              <w:t>有一個以上的意義主軸或課程組織中心</w:t>
            </w:r>
            <w:r>
              <w:rPr>
                <w:rFonts w:hint="eastAsia"/>
              </w:rPr>
              <w:t xml:space="preserve"> (</w:t>
            </w:r>
            <w:r>
              <w:rPr>
                <w:rFonts w:hint="eastAsia"/>
              </w:rPr>
              <w:t>統整課程的黏著劑</w:t>
            </w:r>
            <w:r>
              <w:rPr>
                <w:rFonts w:hint="eastAsia"/>
              </w:rPr>
              <w:t>)</w:t>
            </w:r>
          </w:p>
        </w:tc>
        <w:tc>
          <w:tcPr>
            <w:tcW w:w="1593" w:type="dxa"/>
            <w:gridSpan w:val="2"/>
          </w:tcPr>
          <w:p w:rsidR="00162E48" w:rsidRDefault="00162E48"/>
        </w:tc>
      </w:tr>
      <w:tr w:rsidR="00780B7C" w:rsidTr="00A50843">
        <w:trPr>
          <w:trHeight w:val="648"/>
        </w:trPr>
        <w:tc>
          <w:tcPr>
            <w:tcW w:w="1702" w:type="dxa"/>
            <w:vMerge/>
          </w:tcPr>
          <w:p w:rsidR="00780B7C" w:rsidRDefault="00780B7C"/>
        </w:tc>
        <w:tc>
          <w:tcPr>
            <w:tcW w:w="6628" w:type="dxa"/>
          </w:tcPr>
          <w:p w:rsidR="00780B7C" w:rsidRDefault="00162E48" w:rsidP="00A721D0">
            <w:pPr>
              <w:ind w:left="178" w:hanging="178"/>
            </w:pPr>
            <w:r>
              <w:t>4.</w:t>
            </w:r>
            <w:r>
              <w:rPr>
                <w:rFonts w:hint="eastAsia"/>
              </w:rPr>
              <w:t>除了培養知識、還會培養思考技能、探究技能、情意態度、價值</w:t>
            </w:r>
          </w:p>
        </w:tc>
        <w:tc>
          <w:tcPr>
            <w:tcW w:w="1593" w:type="dxa"/>
            <w:gridSpan w:val="2"/>
          </w:tcPr>
          <w:p w:rsidR="00780B7C" w:rsidRDefault="00780B7C"/>
        </w:tc>
      </w:tr>
      <w:tr w:rsidR="000568F9" w:rsidTr="00A50843">
        <w:trPr>
          <w:trHeight w:val="1284"/>
        </w:trPr>
        <w:tc>
          <w:tcPr>
            <w:tcW w:w="1702" w:type="dxa"/>
            <w:vMerge w:val="restart"/>
          </w:tcPr>
          <w:p w:rsidR="000568F9" w:rsidRPr="00581662" w:rsidRDefault="000568F9">
            <w:pPr>
              <w:rPr>
                <w:b/>
              </w:rPr>
            </w:pPr>
            <w:r w:rsidRPr="00581662">
              <w:rPr>
                <w:rFonts w:hint="eastAsia"/>
                <w:b/>
              </w:rPr>
              <w:t>探究</w:t>
            </w:r>
          </w:p>
          <w:p w:rsidR="000568F9" w:rsidRPr="00581662" w:rsidRDefault="000568F9">
            <w:pPr>
              <w:rPr>
                <w:b/>
              </w:rPr>
            </w:pPr>
            <w:r w:rsidRPr="00581662">
              <w:rPr>
                <w:rFonts w:hint="eastAsia"/>
                <w:b/>
              </w:rPr>
              <w:t>(</w:t>
            </w:r>
            <w:r w:rsidRPr="00581662">
              <w:rPr>
                <w:b/>
              </w:rPr>
              <w:t>1.</w:t>
            </w:r>
            <w:r w:rsidRPr="00581662">
              <w:rPr>
                <w:rFonts w:hint="eastAsia"/>
                <w:b/>
              </w:rPr>
              <w:t>或</w:t>
            </w:r>
            <w:r w:rsidRPr="00581662">
              <w:rPr>
                <w:rFonts w:hint="eastAsia"/>
                <w:b/>
              </w:rPr>
              <w:t>2.</w:t>
            </w:r>
            <w:r w:rsidRPr="00581662">
              <w:rPr>
                <w:rFonts w:hint="eastAsia"/>
                <w:b/>
              </w:rPr>
              <w:t>擇一</w:t>
            </w:r>
            <w:r w:rsidRPr="00581662">
              <w:rPr>
                <w:rFonts w:hint="eastAsia"/>
                <w:b/>
              </w:rPr>
              <w:t>)</w:t>
            </w:r>
          </w:p>
        </w:tc>
        <w:tc>
          <w:tcPr>
            <w:tcW w:w="6628" w:type="dxa"/>
          </w:tcPr>
          <w:p w:rsidR="000568F9" w:rsidRDefault="000568F9" w:rsidP="0049649D">
            <w:pPr>
              <w:ind w:left="178" w:hanging="178"/>
            </w:pPr>
            <w:r>
              <w:t>1.</w:t>
            </w:r>
            <w:r>
              <w:rPr>
                <w:rFonts w:hint="eastAsia"/>
              </w:rPr>
              <w:t xml:space="preserve"> </w:t>
            </w:r>
            <w:r>
              <w:rPr>
                <w:rFonts w:hint="eastAsia"/>
              </w:rPr>
              <w:t>使用專案、議題、問題導向學習之探究教學</w:t>
            </w:r>
            <w:r>
              <w:rPr>
                <w:rFonts w:hint="eastAsia"/>
              </w:rPr>
              <w:t xml:space="preserve"> (</w:t>
            </w:r>
            <w:r>
              <w:rPr>
                <w:rFonts w:hint="eastAsia"/>
              </w:rPr>
              <w:t>例如：</w:t>
            </w:r>
            <w:r>
              <w:rPr>
                <w:rFonts w:hint="eastAsia"/>
              </w:rPr>
              <w:t>project-based, problem-based, phenomenon-based, DFC</w:t>
            </w:r>
            <w:r>
              <w:t xml:space="preserve">, </w:t>
            </w:r>
            <w:r>
              <w:rPr>
                <w:rFonts w:hint="eastAsia"/>
              </w:rPr>
              <w:t xml:space="preserve">STEAM, </w:t>
            </w:r>
            <w:r>
              <w:t>b</w:t>
            </w:r>
            <w:r>
              <w:rPr>
                <w:rFonts w:hint="eastAsia"/>
              </w:rPr>
              <w:t>ig s</w:t>
            </w:r>
            <w:r>
              <w:t xml:space="preserve">ix, </w:t>
            </w:r>
            <w:r>
              <w:rPr>
                <w:rFonts w:hint="eastAsia"/>
              </w:rPr>
              <w:t>設計思考</w:t>
            </w:r>
            <w:r>
              <w:t>……</w:t>
            </w:r>
            <w:r>
              <w:rPr>
                <w:rFonts w:hint="eastAsia"/>
              </w:rPr>
              <w:t>)</w:t>
            </w:r>
          </w:p>
          <w:p w:rsidR="000568F9" w:rsidRDefault="000568F9" w:rsidP="0049649D">
            <w:pPr>
              <w:ind w:left="178" w:hanging="178"/>
            </w:pPr>
            <w:r>
              <w:rPr>
                <w:rFonts w:hint="eastAsia"/>
              </w:rPr>
              <w:t>2.</w:t>
            </w:r>
            <w:r>
              <w:t xml:space="preserve"> </w:t>
            </w:r>
            <w:r>
              <w:rPr>
                <w:rFonts w:hint="eastAsia"/>
              </w:rPr>
              <w:t>使用專題、議題、主題之學習任務探究教學</w:t>
            </w:r>
          </w:p>
        </w:tc>
        <w:tc>
          <w:tcPr>
            <w:tcW w:w="1593" w:type="dxa"/>
            <w:gridSpan w:val="2"/>
          </w:tcPr>
          <w:p w:rsidR="000568F9" w:rsidRDefault="000568F9"/>
        </w:tc>
      </w:tr>
      <w:tr w:rsidR="000568F9" w:rsidTr="00A50843">
        <w:trPr>
          <w:trHeight w:val="480"/>
        </w:trPr>
        <w:tc>
          <w:tcPr>
            <w:tcW w:w="1702" w:type="dxa"/>
            <w:vMerge/>
          </w:tcPr>
          <w:p w:rsidR="000568F9" w:rsidRPr="00581662" w:rsidRDefault="000568F9">
            <w:pPr>
              <w:rPr>
                <w:b/>
              </w:rPr>
            </w:pPr>
          </w:p>
        </w:tc>
        <w:tc>
          <w:tcPr>
            <w:tcW w:w="6628" w:type="dxa"/>
          </w:tcPr>
          <w:p w:rsidR="000568F9" w:rsidRDefault="000568F9" w:rsidP="000568F9">
            <w:r>
              <w:rPr>
                <w:rFonts w:hint="eastAsia"/>
              </w:rPr>
              <w:t>3.</w:t>
            </w:r>
            <w:r>
              <w:rPr>
                <w:rFonts w:hint="eastAsia"/>
              </w:rPr>
              <w:t>使用教學策略、學習策略與方法</w:t>
            </w:r>
            <w:r w:rsidR="00A721D0">
              <w:rPr>
                <w:rFonts w:hint="eastAsia"/>
              </w:rPr>
              <w:t>，</w:t>
            </w:r>
            <w:r>
              <w:rPr>
                <w:rFonts w:hint="eastAsia"/>
              </w:rPr>
              <w:t>鷹架學生學習</w:t>
            </w:r>
          </w:p>
        </w:tc>
        <w:tc>
          <w:tcPr>
            <w:tcW w:w="1593" w:type="dxa"/>
            <w:gridSpan w:val="2"/>
          </w:tcPr>
          <w:p w:rsidR="000568F9" w:rsidRDefault="000568F9"/>
        </w:tc>
      </w:tr>
      <w:tr w:rsidR="000568F9" w:rsidTr="00A50843">
        <w:trPr>
          <w:trHeight w:val="417"/>
        </w:trPr>
        <w:tc>
          <w:tcPr>
            <w:tcW w:w="1702" w:type="dxa"/>
            <w:vMerge/>
          </w:tcPr>
          <w:p w:rsidR="000568F9" w:rsidRPr="00581662" w:rsidRDefault="000568F9">
            <w:pPr>
              <w:rPr>
                <w:b/>
              </w:rPr>
            </w:pPr>
          </w:p>
        </w:tc>
        <w:tc>
          <w:tcPr>
            <w:tcW w:w="6628" w:type="dxa"/>
          </w:tcPr>
          <w:p w:rsidR="000568F9" w:rsidRDefault="000568F9" w:rsidP="000568F9">
            <w:r>
              <w:rPr>
                <w:rFonts w:hint="eastAsia"/>
              </w:rPr>
              <w:t>4.</w:t>
            </w:r>
            <w:r>
              <w:rPr>
                <w:rFonts w:hint="eastAsia"/>
              </w:rPr>
              <w:t>引導學生覺察問題、使用方法與策略、解決問題</w:t>
            </w:r>
          </w:p>
        </w:tc>
        <w:tc>
          <w:tcPr>
            <w:tcW w:w="1593" w:type="dxa"/>
            <w:gridSpan w:val="2"/>
          </w:tcPr>
          <w:p w:rsidR="000568F9" w:rsidRDefault="000568F9"/>
        </w:tc>
      </w:tr>
      <w:tr w:rsidR="000568F9" w:rsidTr="00A50843">
        <w:trPr>
          <w:trHeight w:val="432"/>
        </w:trPr>
        <w:tc>
          <w:tcPr>
            <w:tcW w:w="1702" w:type="dxa"/>
            <w:vMerge w:val="restart"/>
          </w:tcPr>
          <w:p w:rsidR="000568F9" w:rsidRPr="00581662" w:rsidRDefault="000568F9">
            <w:pPr>
              <w:rPr>
                <w:b/>
              </w:rPr>
            </w:pPr>
            <w:r w:rsidRPr="00581662">
              <w:rPr>
                <w:rFonts w:hint="eastAsia"/>
                <w:b/>
              </w:rPr>
              <w:t>素養導向</w:t>
            </w:r>
          </w:p>
        </w:tc>
        <w:tc>
          <w:tcPr>
            <w:tcW w:w="6628" w:type="dxa"/>
          </w:tcPr>
          <w:p w:rsidR="000568F9" w:rsidRPr="00F03829" w:rsidRDefault="000568F9" w:rsidP="000568F9">
            <w:r>
              <w:rPr>
                <w:rFonts w:hint="eastAsia"/>
              </w:rPr>
              <w:t>1.</w:t>
            </w:r>
            <w:r>
              <w:rPr>
                <w:rFonts w:hint="eastAsia"/>
              </w:rPr>
              <w:t>具素養學習目標</w:t>
            </w:r>
          </w:p>
        </w:tc>
        <w:tc>
          <w:tcPr>
            <w:tcW w:w="1593" w:type="dxa"/>
            <w:gridSpan w:val="2"/>
          </w:tcPr>
          <w:p w:rsidR="000568F9" w:rsidRDefault="000568F9"/>
        </w:tc>
      </w:tr>
      <w:tr w:rsidR="000568F9" w:rsidTr="00A50843">
        <w:trPr>
          <w:trHeight w:val="396"/>
        </w:trPr>
        <w:tc>
          <w:tcPr>
            <w:tcW w:w="1702" w:type="dxa"/>
            <w:vMerge/>
          </w:tcPr>
          <w:p w:rsidR="000568F9" w:rsidRDefault="000568F9"/>
        </w:tc>
        <w:tc>
          <w:tcPr>
            <w:tcW w:w="6628" w:type="dxa"/>
          </w:tcPr>
          <w:p w:rsidR="000568F9" w:rsidRDefault="000568F9" w:rsidP="000568F9">
            <w:r>
              <w:rPr>
                <w:rFonts w:hint="eastAsia"/>
              </w:rPr>
              <w:t>2.</w:t>
            </w:r>
            <w:r>
              <w:rPr>
                <w:rFonts w:hint="eastAsia"/>
              </w:rPr>
              <w:t>安排在學科</w:t>
            </w:r>
            <w:r>
              <w:rPr>
                <w:rFonts w:hint="eastAsia"/>
              </w:rPr>
              <w:t>/</w:t>
            </w:r>
            <w:r>
              <w:rPr>
                <w:rFonts w:hint="eastAsia"/>
              </w:rPr>
              <w:t>領域情境或生活情境中的學習任務</w:t>
            </w:r>
          </w:p>
        </w:tc>
        <w:tc>
          <w:tcPr>
            <w:tcW w:w="1593" w:type="dxa"/>
            <w:gridSpan w:val="2"/>
          </w:tcPr>
          <w:p w:rsidR="000568F9" w:rsidRDefault="000568F9"/>
        </w:tc>
      </w:tr>
      <w:tr w:rsidR="000568F9" w:rsidTr="00A50843">
        <w:trPr>
          <w:trHeight w:val="696"/>
        </w:trPr>
        <w:tc>
          <w:tcPr>
            <w:tcW w:w="1702" w:type="dxa"/>
            <w:vMerge/>
          </w:tcPr>
          <w:p w:rsidR="000568F9" w:rsidRDefault="000568F9"/>
        </w:tc>
        <w:tc>
          <w:tcPr>
            <w:tcW w:w="6628" w:type="dxa"/>
          </w:tcPr>
          <w:p w:rsidR="000568F9" w:rsidRDefault="000568F9" w:rsidP="0049649D">
            <w:pPr>
              <w:ind w:left="178" w:hanging="178"/>
            </w:pPr>
            <w:r>
              <w:t>3.</w:t>
            </w:r>
            <w:r>
              <w:rPr>
                <w:rFonts w:hint="eastAsia"/>
              </w:rPr>
              <w:t>設計由導向素養目標的系列學習任務所組成的學習脈絡或課程脈絡</w:t>
            </w:r>
          </w:p>
        </w:tc>
        <w:tc>
          <w:tcPr>
            <w:tcW w:w="1593" w:type="dxa"/>
            <w:gridSpan w:val="2"/>
          </w:tcPr>
          <w:p w:rsidR="000568F9" w:rsidRDefault="000568F9"/>
        </w:tc>
      </w:tr>
      <w:tr w:rsidR="000568F9" w:rsidTr="00A50843">
        <w:trPr>
          <w:trHeight w:val="420"/>
        </w:trPr>
        <w:tc>
          <w:tcPr>
            <w:tcW w:w="1702" w:type="dxa"/>
            <w:vMerge/>
          </w:tcPr>
          <w:p w:rsidR="000568F9" w:rsidRDefault="000568F9"/>
        </w:tc>
        <w:tc>
          <w:tcPr>
            <w:tcW w:w="6628" w:type="dxa"/>
          </w:tcPr>
          <w:p w:rsidR="000568F9" w:rsidRDefault="000568F9" w:rsidP="000568F9">
            <w:r>
              <w:t>4.</w:t>
            </w:r>
            <w:r>
              <w:rPr>
                <w:rFonts w:hint="eastAsia"/>
              </w:rPr>
              <w:t>規劃綜整的</w:t>
            </w:r>
            <w:r>
              <w:rPr>
                <w:rFonts w:hint="eastAsia"/>
              </w:rPr>
              <w:t>(</w:t>
            </w:r>
            <w:r>
              <w:rPr>
                <w:rFonts w:hint="eastAsia"/>
              </w:rPr>
              <w:t>總結的、統整的</w:t>
            </w:r>
            <w:r>
              <w:rPr>
                <w:rFonts w:hint="eastAsia"/>
              </w:rPr>
              <w:t>)</w:t>
            </w:r>
            <w:r>
              <w:rPr>
                <w:rFonts w:hint="eastAsia"/>
              </w:rPr>
              <w:t>表現任務</w:t>
            </w:r>
          </w:p>
        </w:tc>
        <w:tc>
          <w:tcPr>
            <w:tcW w:w="1593" w:type="dxa"/>
            <w:gridSpan w:val="2"/>
          </w:tcPr>
          <w:p w:rsidR="000568F9" w:rsidRDefault="000568F9"/>
        </w:tc>
      </w:tr>
      <w:tr w:rsidR="000568F9" w:rsidTr="00A50843">
        <w:trPr>
          <w:trHeight w:val="429"/>
        </w:trPr>
        <w:tc>
          <w:tcPr>
            <w:tcW w:w="1702" w:type="dxa"/>
            <w:vMerge/>
          </w:tcPr>
          <w:p w:rsidR="000568F9" w:rsidRDefault="000568F9"/>
        </w:tc>
        <w:tc>
          <w:tcPr>
            <w:tcW w:w="6628" w:type="dxa"/>
          </w:tcPr>
          <w:p w:rsidR="000568F9" w:rsidRDefault="000568F9" w:rsidP="000568F9">
            <w:r>
              <w:t>5.</w:t>
            </w:r>
            <w:r>
              <w:rPr>
                <w:rFonts w:hint="eastAsia"/>
              </w:rPr>
              <w:t>使用形成性</w:t>
            </w:r>
            <w:r>
              <w:rPr>
                <w:rFonts w:hint="eastAsia"/>
              </w:rPr>
              <w:t>(</w:t>
            </w:r>
            <w:r>
              <w:rPr>
                <w:rFonts w:hint="eastAsia"/>
              </w:rPr>
              <w:t>促進學習、促進自主學習</w:t>
            </w:r>
            <w:r>
              <w:rPr>
                <w:rFonts w:hint="eastAsia"/>
              </w:rPr>
              <w:t>)</w:t>
            </w:r>
            <w:r>
              <w:rPr>
                <w:rFonts w:hint="eastAsia"/>
              </w:rPr>
              <w:t>與總結性評量</w:t>
            </w:r>
          </w:p>
        </w:tc>
        <w:tc>
          <w:tcPr>
            <w:tcW w:w="1593" w:type="dxa"/>
            <w:gridSpan w:val="2"/>
          </w:tcPr>
          <w:p w:rsidR="000568F9" w:rsidRDefault="000568F9"/>
        </w:tc>
      </w:tr>
    </w:tbl>
    <w:p w:rsidR="00780B7C" w:rsidRDefault="0025691E">
      <w:r>
        <w:rPr>
          <w:rFonts w:hint="eastAsia"/>
        </w:rPr>
        <w:t xml:space="preserve">                                                                                            </w:t>
      </w:r>
      <w:r w:rsidR="007913AE">
        <w:rPr>
          <w:rFonts w:hint="eastAsia"/>
        </w:rPr>
        <w:t>2020.</w:t>
      </w:r>
      <w:r w:rsidR="007913AE">
        <w:t>08/</w:t>
      </w:r>
      <w:r>
        <w:t>2021.09</w:t>
      </w:r>
      <w:r>
        <w:rPr>
          <w:rFonts w:hint="eastAsia"/>
        </w:rPr>
        <w:t>, 吳璧純</w:t>
      </w:r>
    </w:p>
    <w:p w:rsidR="00A721D0" w:rsidRDefault="00A721D0"/>
    <w:p w:rsidR="00855B97" w:rsidRDefault="00855B97"/>
    <w:p w:rsidR="00AF4069" w:rsidRPr="0049649D" w:rsidRDefault="00AF4069">
      <w:pPr>
        <w:rPr>
          <w:b/>
        </w:rPr>
      </w:pPr>
      <w:r w:rsidRPr="0049649D">
        <w:rPr>
          <w:rFonts w:hint="eastAsia"/>
          <w:b/>
        </w:rPr>
        <w:t>三、素養導向教學與評量設計</w:t>
      </w:r>
    </w:p>
    <w:p w:rsidR="00780B7C" w:rsidRPr="00FB2B1E" w:rsidRDefault="00780B7C" w:rsidP="00AF4069">
      <w:pPr>
        <w:jc w:val="center"/>
        <w:rPr>
          <w:rFonts w:asciiTheme="minorEastAsia" w:hAnsiTheme="minorEastAsia"/>
          <w:b/>
        </w:rPr>
      </w:pPr>
    </w:p>
    <w:tbl>
      <w:tblPr>
        <w:tblStyle w:val="a3"/>
        <w:tblW w:w="8784" w:type="dxa"/>
        <w:tblLook w:val="04A0" w:firstRow="1" w:lastRow="0" w:firstColumn="1" w:lastColumn="0" w:noHBand="0" w:noVBand="1"/>
      </w:tblPr>
      <w:tblGrid>
        <w:gridCol w:w="1384"/>
        <w:gridCol w:w="1843"/>
        <w:gridCol w:w="4119"/>
        <w:gridCol w:w="1438"/>
      </w:tblGrid>
      <w:tr w:rsidR="0025691E" w:rsidRPr="00F84F70" w:rsidTr="0025691E">
        <w:tc>
          <w:tcPr>
            <w:tcW w:w="8784" w:type="dxa"/>
            <w:gridSpan w:val="4"/>
            <w:shd w:val="clear" w:color="auto" w:fill="D9D9D9" w:themeFill="background1" w:themeFillShade="D9"/>
          </w:tcPr>
          <w:p w:rsidR="0025691E" w:rsidRPr="00543968" w:rsidRDefault="0025691E" w:rsidP="0025691E">
            <w:pPr>
              <w:jc w:val="center"/>
              <w:rPr>
                <w:rFonts w:eastAsia="微軟正黑體"/>
                <w:b/>
              </w:rPr>
            </w:pPr>
            <w:r w:rsidRPr="00543968">
              <w:rPr>
                <w:rFonts w:eastAsia="微軟正黑體" w:hint="eastAsia"/>
                <w:b/>
              </w:rPr>
              <w:t>素養導向教學與多元評量設計</w:t>
            </w:r>
            <w:r w:rsidR="007913AE" w:rsidRPr="00543968">
              <w:rPr>
                <w:rFonts w:eastAsia="微軟正黑體" w:hint="eastAsia"/>
                <w:b/>
              </w:rPr>
              <w:t>檢核表</w:t>
            </w:r>
          </w:p>
        </w:tc>
      </w:tr>
      <w:tr w:rsidR="0025691E" w:rsidRPr="00F84F70" w:rsidTr="007913AE">
        <w:tc>
          <w:tcPr>
            <w:tcW w:w="1384" w:type="dxa"/>
            <w:shd w:val="clear" w:color="auto" w:fill="D9D9D9" w:themeFill="background1" w:themeFillShade="D9"/>
          </w:tcPr>
          <w:p w:rsidR="0025691E" w:rsidRPr="00543968" w:rsidRDefault="0025691E" w:rsidP="0025691E">
            <w:pPr>
              <w:rPr>
                <w:rFonts w:eastAsia="微軟正黑體"/>
                <w:b/>
              </w:rPr>
            </w:pPr>
            <w:r w:rsidRPr="00543968">
              <w:rPr>
                <w:rFonts w:eastAsia="微軟正黑體" w:hint="eastAsia"/>
                <w:b/>
              </w:rPr>
              <w:t>學理依據</w:t>
            </w:r>
          </w:p>
        </w:tc>
        <w:tc>
          <w:tcPr>
            <w:tcW w:w="1843" w:type="dxa"/>
            <w:shd w:val="clear" w:color="auto" w:fill="D9D9D9" w:themeFill="background1" w:themeFillShade="D9"/>
          </w:tcPr>
          <w:p w:rsidR="0025691E" w:rsidRPr="00543968" w:rsidRDefault="0025691E" w:rsidP="0025691E">
            <w:pPr>
              <w:rPr>
                <w:rFonts w:eastAsia="微軟正黑體"/>
                <w:b/>
              </w:rPr>
            </w:pPr>
            <w:r w:rsidRPr="00543968">
              <w:rPr>
                <w:rFonts w:eastAsia="微軟正黑體" w:hint="eastAsia"/>
                <w:b/>
              </w:rPr>
              <w:t>原則</w:t>
            </w:r>
          </w:p>
        </w:tc>
        <w:tc>
          <w:tcPr>
            <w:tcW w:w="4119" w:type="dxa"/>
            <w:shd w:val="clear" w:color="auto" w:fill="D9D9D9" w:themeFill="background1" w:themeFillShade="D9"/>
          </w:tcPr>
          <w:p w:rsidR="0025691E" w:rsidRPr="00543968" w:rsidRDefault="0025691E" w:rsidP="0025691E">
            <w:pPr>
              <w:rPr>
                <w:rFonts w:eastAsia="微軟正黑體"/>
                <w:b/>
              </w:rPr>
            </w:pPr>
            <w:r w:rsidRPr="00543968">
              <w:rPr>
                <w:rFonts w:eastAsia="微軟正黑體" w:hint="eastAsia"/>
                <w:b/>
              </w:rPr>
              <w:t>內涵</w:t>
            </w:r>
          </w:p>
        </w:tc>
        <w:tc>
          <w:tcPr>
            <w:tcW w:w="1438" w:type="dxa"/>
            <w:shd w:val="clear" w:color="auto" w:fill="D9D9D9" w:themeFill="background1" w:themeFillShade="D9"/>
          </w:tcPr>
          <w:p w:rsidR="0025691E" w:rsidRPr="00543968" w:rsidRDefault="0025691E" w:rsidP="0025691E">
            <w:pPr>
              <w:rPr>
                <w:rFonts w:eastAsia="微軟正黑體"/>
                <w:b/>
              </w:rPr>
            </w:pPr>
            <w:r w:rsidRPr="00543968">
              <w:rPr>
                <w:rFonts w:eastAsia="微軟正黑體" w:hint="eastAsia"/>
                <w:b/>
              </w:rPr>
              <w:t>做到打V</w:t>
            </w:r>
          </w:p>
        </w:tc>
      </w:tr>
      <w:tr w:rsidR="007913AE" w:rsidTr="007913AE">
        <w:trPr>
          <w:trHeight w:val="601"/>
        </w:trPr>
        <w:tc>
          <w:tcPr>
            <w:tcW w:w="1384" w:type="dxa"/>
            <w:vMerge w:val="restart"/>
          </w:tcPr>
          <w:p w:rsidR="007913AE" w:rsidRPr="00F84F70" w:rsidRDefault="007913AE" w:rsidP="0025691E">
            <w:pPr>
              <w:rPr>
                <w:rFonts w:asciiTheme="minorEastAsia" w:hAnsiTheme="minorEastAsia"/>
                <w:b/>
              </w:rPr>
            </w:pPr>
            <w:r w:rsidRPr="00F84F70">
              <w:rPr>
                <w:rFonts w:asciiTheme="minorEastAsia" w:hAnsiTheme="minorEastAsia" w:hint="eastAsia"/>
                <w:b/>
              </w:rPr>
              <w:t>自主學習</w:t>
            </w:r>
          </w:p>
        </w:tc>
        <w:tc>
          <w:tcPr>
            <w:tcW w:w="1843" w:type="dxa"/>
            <w:vMerge w:val="restart"/>
          </w:tcPr>
          <w:p w:rsidR="007913AE" w:rsidRDefault="007913AE" w:rsidP="0025691E">
            <w:pPr>
              <w:rPr>
                <w:rFonts w:asciiTheme="minorEastAsia" w:hAnsiTheme="minorEastAsia"/>
              </w:rPr>
            </w:pPr>
            <w:r>
              <w:rPr>
                <w:rFonts w:asciiTheme="minorEastAsia" w:hAnsiTheme="minorEastAsia" w:hint="eastAsia"/>
              </w:rPr>
              <w:t>學教翻轉</w:t>
            </w:r>
          </w:p>
        </w:tc>
        <w:tc>
          <w:tcPr>
            <w:tcW w:w="4119" w:type="dxa"/>
          </w:tcPr>
          <w:p w:rsidR="007913AE" w:rsidRDefault="007913AE" w:rsidP="0049649D">
            <w:pPr>
              <w:ind w:left="204" w:hanging="204"/>
              <w:rPr>
                <w:rFonts w:asciiTheme="minorEastAsia" w:hAnsiTheme="minorEastAsia"/>
              </w:rPr>
            </w:pPr>
            <w:r>
              <w:rPr>
                <w:rFonts w:asciiTheme="minorEastAsia" w:hAnsiTheme="minorEastAsia" w:hint="eastAsia"/>
              </w:rPr>
              <w:t>1.以學生為學習主體 (學生預習或覺察問題</w:t>
            </w:r>
            <w:r w:rsidRPr="00521B0E">
              <w:rPr>
                <w:rFonts w:asciiTheme="minorEastAsia" w:hAnsiTheme="minorEastAsia" w:hint="eastAsia"/>
              </w:rPr>
              <w:t>、</w:t>
            </w:r>
            <w:r>
              <w:rPr>
                <w:rFonts w:asciiTheme="minorEastAsia" w:hAnsiTheme="minorEastAsia" w:hint="eastAsia"/>
              </w:rPr>
              <w:t>提出探究問題)</w:t>
            </w:r>
          </w:p>
        </w:tc>
        <w:tc>
          <w:tcPr>
            <w:tcW w:w="1438" w:type="dxa"/>
          </w:tcPr>
          <w:p w:rsidR="007913AE" w:rsidRDefault="007913AE" w:rsidP="0025691E">
            <w:pPr>
              <w:rPr>
                <w:rFonts w:asciiTheme="minorEastAsia" w:hAnsiTheme="minorEastAsia"/>
              </w:rPr>
            </w:pPr>
          </w:p>
        </w:tc>
      </w:tr>
      <w:tr w:rsidR="007913AE" w:rsidTr="007913AE">
        <w:trPr>
          <w:trHeight w:val="636"/>
        </w:trPr>
        <w:tc>
          <w:tcPr>
            <w:tcW w:w="1384" w:type="dxa"/>
            <w:vMerge/>
          </w:tcPr>
          <w:p w:rsidR="007913AE" w:rsidRPr="00F84F70" w:rsidRDefault="007913AE" w:rsidP="0025691E">
            <w:pPr>
              <w:rPr>
                <w:rFonts w:asciiTheme="minorEastAsia" w:hAnsiTheme="minorEastAsia"/>
                <w:b/>
              </w:rPr>
            </w:pPr>
          </w:p>
        </w:tc>
        <w:tc>
          <w:tcPr>
            <w:tcW w:w="1843" w:type="dxa"/>
            <w:vMerge/>
          </w:tcPr>
          <w:p w:rsidR="007913AE" w:rsidRDefault="007913AE" w:rsidP="0025691E">
            <w:pPr>
              <w:rPr>
                <w:rFonts w:asciiTheme="minorEastAsia" w:hAnsiTheme="minorEastAsia"/>
              </w:rPr>
            </w:pPr>
          </w:p>
        </w:tc>
        <w:tc>
          <w:tcPr>
            <w:tcW w:w="4119" w:type="dxa"/>
          </w:tcPr>
          <w:p w:rsidR="007913AE" w:rsidRDefault="007913AE" w:rsidP="0049649D">
            <w:pPr>
              <w:ind w:left="204" w:hanging="204"/>
              <w:rPr>
                <w:rFonts w:asciiTheme="minorEastAsia" w:hAnsiTheme="minorEastAsia"/>
              </w:rPr>
            </w:pPr>
            <w:r>
              <w:rPr>
                <w:rFonts w:asciiTheme="minorEastAsia" w:hAnsiTheme="minorEastAsia" w:hint="eastAsia"/>
              </w:rPr>
              <w:t>2.喚起學生學習意圖：提示學習目標與學習成功的基準</w:t>
            </w:r>
          </w:p>
        </w:tc>
        <w:tc>
          <w:tcPr>
            <w:tcW w:w="1438" w:type="dxa"/>
          </w:tcPr>
          <w:p w:rsidR="007913AE" w:rsidRDefault="007913AE" w:rsidP="0025691E">
            <w:pPr>
              <w:rPr>
                <w:rFonts w:asciiTheme="minorEastAsia" w:hAnsiTheme="minorEastAsia"/>
              </w:rPr>
            </w:pPr>
          </w:p>
        </w:tc>
      </w:tr>
      <w:tr w:rsidR="0025691E" w:rsidTr="007913AE">
        <w:trPr>
          <w:trHeight w:val="525"/>
        </w:trPr>
        <w:tc>
          <w:tcPr>
            <w:tcW w:w="1384" w:type="dxa"/>
            <w:vMerge/>
          </w:tcPr>
          <w:p w:rsidR="0025691E" w:rsidRDefault="0025691E" w:rsidP="0025691E">
            <w:pPr>
              <w:rPr>
                <w:rFonts w:asciiTheme="minorEastAsia" w:hAnsiTheme="minorEastAsia"/>
              </w:rPr>
            </w:pPr>
          </w:p>
        </w:tc>
        <w:tc>
          <w:tcPr>
            <w:tcW w:w="1843" w:type="dxa"/>
            <w:vMerge w:val="restart"/>
          </w:tcPr>
          <w:p w:rsidR="0025691E" w:rsidRDefault="0025691E" w:rsidP="0025691E">
            <w:pPr>
              <w:rPr>
                <w:rFonts w:asciiTheme="minorEastAsia" w:hAnsiTheme="minorEastAsia"/>
              </w:rPr>
            </w:pPr>
            <w:r>
              <w:rPr>
                <w:rFonts w:asciiTheme="minorEastAsia" w:hAnsiTheme="minorEastAsia" w:hint="eastAsia"/>
              </w:rPr>
              <w:t xml:space="preserve">使用探究教學取向 </w:t>
            </w:r>
          </w:p>
        </w:tc>
        <w:tc>
          <w:tcPr>
            <w:tcW w:w="4119" w:type="dxa"/>
          </w:tcPr>
          <w:p w:rsidR="0025691E" w:rsidRDefault="00581662" w:rsidP="0049649D">
            <w:pPr>
              <w:ind w:left="204" w:hanging="204"/>
              <w:rPr>
                <w:rFonts w:asciiTheme="minorEastAsia" w:hAnsiTheme="minorEastAsia"/>
              </w:rPr>
            </w:pPr>
            <w:r>
              <w:rPr>
                <w:rFonts w:asciiTheme="minorEastAsia" w:hAnsiTheme="minorEastAsia" w:hint="eastAsia"/>
              </w:rPr>
              <w:t>1.</w:t>
            </w:r>
            <w:r w:rsidR="0025691E">
              <w:rPr>
                <w:rFonts w:asciiTheme="minorEastAsia" w:hAnsiTheme="minorEastAsia" w:hint="eastAsia"/>
              </w:rPr>
              <w:t>使用</w:t>
            </w:r>
            <w:r w:rsidR="007913AE">
              <w:rPr>
                <w:rFonts w:asciiTheme="minorEastAsia" w:hAnsiTheme="minorEastAsia" w:hint="eastAsia"/>
              </w:rPr>
              <w:t>探究學習模式或</w:t>
            </w:r>
            <w:r w:rsidR="0025691E">
              <w:rPr>
                <w:rFonts w:asciiTheme="minorEastAsia" w:hAnsiTheme="minorEastAsia" w:hint="eastAsia"/>
              </w:rPr>
              <w:t>策略鷹架學生學習</w:t>
            </w:r>
          </w:p>
        </w:tc>
        <w:tc>
          <w:tcPr>
            <w:tcW w:w="1438" w:type="dxa"/>
          </w:tcPr>
          <w:p w:rsidR="0025691E" w:rsidRDefault="0025691E" w:rsidP="0025691E">
            <w:pPr>
              <w:rPr>
                <w:rFonts w:asciiTheme="minorEastAsia" w:hAnsiTheme="minorEastAsia"/>
              </w:rPr>
            </w:pPr>
          </w:p>
        </w:tc>
      </w:tr>
      <w:tr w:rsidR="0025691E" w:rsidTr="007913AE">
        <w:trPr>
          <w:trHeight w:val="450"/>
        </w:trPr>
        <w:tc>
          <w:tcPr>
            <w:tcW w:w="1384" w:type="dxa"/>
            <w:vMerge/>
          </w:tcPr>
          <w:p w:rsidR="0025691E" w:rsidRDefault="0025691E" w:rsidP="0025691E">
            <w:pPr>
              <w:rPr>
                <w:rFonts w:asciiTheme="minorEastAsia" w:hAnsiTheme="minorEastAsia"/>
              </w:rPr>
            </w:pPr>
          </w:p>
        </w:tc>
        <w:tc>
          <w:tcPr>
            <w:tcW w:w="1843" w:type="dxa"/>
            <w:vMerge/>
          </w:tcPr>
          <w:p w:rsidR="0025691E" w:rsidRDefault="0025691E" w:rsidP="0025691E">
            <w:pPr>
              <w:rPr>
                <w:rFonts w:asciiTheme="minorEastAsia" w:hAnsiTheme="minorEastAsia"/>
              </w:rPr>
            </w:pPr>
          </w:p>
        </w:tc>
        <w:tc>
          <w:tcPr>
            <w:tcW w:w="4119" w:type="dxa"/>
          </w:tcPr>
          <w:p w:rsidR="0025691E" w:rsidRDefault="007913AE" w:rsidP="0049649D">
            <w:pPr>
              <w:ind w:left="204" w:hanging="204"/>
              <w:rPr>
                <w:rFonts w:asciiTheme="minorEastAsia" w:hAnsiTheme="minorEastAsia"/>
              </w:rPr>
            </w:pPr>
            <w:r>
              <w:rPr>
                <w:rFonts w:asciiTheme="minorEastAsia" w:hAnsiTheme="minorEastAsia" w:hint="eastAsia"/>
              </w:rPr>
              <w:t>2.</w:t>
            </w:r>
            <w:r w:rsidR="0025691E">
              <w:rPr>
                <w:rFonts w:asciiTheme="minorEastAsia" w:hAnsiTheme="minorEastAsia" w:hint="eastAsia"/>
              </w:rPr>
              <w:t>學生使用策略或方法學習</w:t>
            </w:r>
          </w:p>
        </w:tc>
        <w:tc>
          <w:tcPr>
            <w:tcW w:w="1438" w:type="dxa"/>
          </w:tcPr>
          <w:p w:rsidR="0025691E" w:rsidRDefault="0025691E" w:rsidP="0025691E">
            <w:pPr>
              <w:rPr>
                <w:rFonts w:asciiTheme="minorEastAsia" w:hAnsiTheme="minorEastAsia"/>
              </w:rPr>
            </w:pPr>
          </w:p>
        </w:tc>
      </w:tr>
      <w:tr w:rsidR="0025691E" w:rsidTr="007913AE">
        <w:trPr>
          <w:trHeight w:val="450"/>
        </w:trPr>
        <w:tc>
          <w:tcPr>
            <w:tcW w:w="1384" w:type="dxa"/>
            <w:vMerge/>
          </w:tcPr>
          <w:p w:rsidR="0025691E" w:rsidRDefault="0025691E" w:rsidP="0025691E">
            <w:pPr>
              <w:rPr>
                <w:rFonts w:asciiTheme="minorEastAsia" w:hAnsiTheme="minorEastAsia"/>
              </w:rPr>
            </w:pPr>
          </w:p>
        </w:tc>
        <w:tc>
          <w:tcPr>
            <w:tcW w:w="1843" w:type="dxa"/>
            <w:vMerge/>
          </w:tcPr>
          <w:p w:rsidR="0025691E" w:rsidRDefault="0025691E" w:rsidP="0025691E">
            <w:pPr>
              <w:rPr>
                <w:rFonts w:asciiTheme="minorEastAsia" w:hAnsiTheme="minorEastAsia"/>
              </w:rPr>
            </w:pPr>
          </w:p>
        </w:tc>
        <w:tc>
          <w:tcPr>
            <w:tcW w:w="4119" w:type="dxa"/>
          </w:tcPr>
          <w:p w:rsidR="0025691E" w:rsidRDefault="007913AE" w:rsidP="0049649D">
            <w:pPr>
              <w:ind w:left="204" w:hanging="204"/>
              <w:rPr>
                <w:rFonts w:asciiTheme="minorEastAsia" w:hAnsiTheme="minorEastAsia"/>
              </w:rPr>
            </w:pPr>
            <w:r>
              <w:rPr>
                <w:rFonts w:asciiTheme="minorEastAsia" w:hAnsiTheme="minorEastAsia" w:hint="eastAsia"/>
              </w:rPr>
              <w:t>3.</w:t>
            </w:r>
            <w:r w:rsidR="0025691E">
              <w:rPr>
                <w:rFonts w:asciiTheme="minorEastAsia" w:hAnsiTheme="minorEastAsia" w:hint="eastAsia"/>
              </w:rPr>
              <w:t>學生協同學習</w:t>
            </w:r>
          </w:p>
        </w:tc>
        <w:tc>
          <w:tcPr>
            <w:tcW w:w="1438" w:type="dxa"/>
          </w:tcPr>
          <w:p w:rsidR="0025691E" w:rsidRDefault="0025691E" w:rsidP="0025691E">
            <w:pPr>
              <w:rPr>
                <w:rFonts w:asciiTheme="minorEastAsia" w:hAnsiTheme="minorEastAsia"/>
              </w:rPr>
            </w:pPr>
          </w:p>
        </w:tc>
      </w:tr>
      <w:tr w:rsidR="0025691E" w:rsidTr="007913AE">
        <w:trPr>
          <w:trHeight w:val="419"/>
        </w:trPr>
        <w:tc>
          <w:tcPr>
            <w:tcW w:w="1384" w:type="dxa"/>
            <w:vMerge/>
          </w:tcPr>
          <w:p w:rsidR="0025691E" w:rsidRDefault="0025691E" w:rsidP="0025691E">
            <w:pPr>
              <w:rPr>
                <w:rFonts w:asciiTheme="minorEastAsia" w:hAnsiTheme="minorEastAsia"/>
              </w:rPr>
            </w:pPr>
          </w:p>
        </w:tc>
        <w:tc>
          <w:tcPr>
            <w:tcW w:w="1843" w:type="dxa"/>
            <w:vMerge w:val="restart"/>
          </w:tcPr>
          <w:p w:rsidR="0025691E" w:rsidRDefault="0025691E" w:rsidP="0025691E">
            <w:pPr>
              <w:rPr>
                <w:rFonts w:asciiTheme="minorEastAsia" w:hAnsiTheme="minorEastAsia"/>
              </w:rPr>
            </w:pPr>
            <w:r>
              <w:rPr>
                <w:rFonts w:asciiTheme="minorEastAsia" w:hAnsiTheme="minorEastAsia" w:hint="eastAsia"/>
              </w:rPr>
              <w:t>後設認知</w:t>
            </w:r>
          </w:p>
        </w:tc>
        <w:tc>
          <w:tcPr>
            <w:tcW w:w="4119" w:type="dxa"/>
          </w:tcPr>
          <w:p w:rsidR="0025691E" w:rsidRDefault="00581662" w:rsidP="0049649D">
            <w:pPr>
              <w:ind w:left="204" w:hanging="204"/>
              <w:rPr>
                <w:rFonts w:asciiTheme="minorEastAsia" w:hAnsiTheme="minorEastAsia"/>
              </w:rPr>
            </w:pPr>
            <w:r>
              <w:rPr>
                <w:rFonts w:asciiTheme="minorEastAsia" w:hAnsiTheme="minorEastAsia" w:hint="eastAsia"/>
              </w:rPr>
              <w:t>1</w:t>
            </w:r>
            <w:r w:rsidR="007913AE">
              <w:rPr>
                <w:rFonts w:asciiTheme="minorEastAsia" w:hAnsiTheme="minorEastAsia" w:hint="eastAsia"/>
              </w:rPr>
              <w:t>.</w:t>
            </w:r>
            <w:r w:rsidR="0025691E">
              <w:rPr>
                <w:rFonts w:asciiTheme="minorEastAsia" w:hAnsiTheme="minorEastAsia" w:hint="eastAsia"/>
              </w:rPr>
              <w:t>學生反思並調整學習</w:t>
            </w:r>
          </w:p>
        </w:tc>
        <w:tc>
          <w:tcPr>
            <w:tcW w:w="1438" w:type="dxa"/>
          </w:tcPr>
          <w:p w:rsidR="0025691E" w:rsidRDefault="0025691E" w:rsidP="0025691E">
            <w:pPr>
              <w:rPr>
                <w:rFonts w:asciiTheme="minorEastAsia" w:hAnsiTheme="minorEastAsia"/>
              </w:rPr>
            </w:pPr>
          </w:p>
        </w:tc>
      </w:tr>
      <w:tr w:rsidR="0025691E" w:rsidTr="007913AE">
        <w:tc>
          <w:tcPr>
            <w:tcW w:w="1384" w:type="dxa"/>
            <w:vMerge/>
          </w:tcPr>
          <w:p w:rsidR="0025691E" w:rsidRDefault="0025691E" w:rsidP="0025691E">
            <w:pPr>
              <w:rPr>
                <w:rFonts w:asciiTheme="minorEastAsia" w:hAnsiTheme="minorEastAsia"/>
              </w:rPr>
            </w:pPr>
          </w:p>
        </w:tc>
        <w:tc>
          <w:tcPr>
            <w:tcW w:w="1843" w:type="dxa"/>
            <w:vMerge/>
          </w:tcPr>
          <w:p w:rsidR="0025691E" w:rsidRDefault="0025691E" w:rsidP="0025691E">
            <w:pPr>
              <w:rPr>
                <w:rFonts w:asciiTheme="minorEastAsia" w:hAnsiTheme="minorEastAsia"/>
              </w:rPr>
            </w:pPr>
          </w:p>
        </w:tc>
        <w:tc>
          <w:tcPr>
            <w:tcW w:w="4119" w:type="dxa"/>
          </w:tcPr>
          <w:p w:rsidR="0025691E" w:rsidRDefault="00581662" w:rsidP="0049649D">
            <w:pPr>
              <w:ind w:left="204" w:hanging="204"/>
              <w:rPr>
                <w:rFonts w:asciiTheme="minorEastAsia" w:hAnsiTheme="minorEastAsia"/>
              </w:rPr>
            </w:pPr>
            <w:r>
              <w:rPr>
                <w:rFonts w:asciiTheme="minorEastAsia" w:hAnsiTheme="minorEastAsia" w:hint="eastAsia"/>
              </w:rPr>
              <w:t>2</w:t>
            </w:r>
            <w:r w:rsidR="007913AE">
              <w:rPr>
                <w:rFonts w:asciiTheme="minorEastAsia" w:hAnsiTheme="minorEastAsia" w:hint="eastAsia"/>
              </w:rPr>
              <w:t>.</w:t>
            </w:r>
            <w:r w:rsidR="0025691E">
              <w:rPr>
                <w:rFonts w:asciiTheme="minorEastAsia" w:hAnsiTheme="minorEastAsia" w:hint="eastAsia"/>
              </w:rPr>
              <w:t>學生互評並調整學習</w:t>
            </w:r>
          </w:p>
        </w:tc>
        <w:tc>
          <w:tcPr>
            <w:tcW w:w="1438" w:type="dxa"/>
          </w:tcPr>
          <w:p w:rsidR="0025691E" w:rsidRDefault="0025691E" w:rsidP="0025691E">
            <w:pPr>
              <w:rPr>
                <w:rFonts w:asciiTheme="minorEastAsia" w:hAnsiTheme="minorEastAsia"/>
              </w:rPr>
            </w:pPr>
          </w:p>
        </w:tc>
      </w:tr>
      <w:tr w:rsidR="00603BE6" w:rsidTr="00603BE6">
        <w:trPr>
          <w:trHeight w:val="300"/>
        </w:trPr>
        <w:tc>
          <w:tcPr>
            <w:tcW w:w="1384" w:type="dxa"/>
            <w:vMerge w:val="restart"/>
          </w:tcPr>
          <w:p w:rsidR="00603BE6" w:rsidRPr="00F84F70" w:rsidRDefault="00603BE6" w:rsidP="0025691E">
            <w:pPr>
              <w:rPr>
                <w:rFonts w:asciiTheme="minorEastAsia" w:hAnsiTheme="minorEastAsia"/>
                <w:b/>
              </w:rPr>
            </w:pPr>
            <w:r w:rsidRPr="00F84F70">
              <w:rPr>
                <w:rFonts w:asciiTheme="minorEastAsia" w:hAnsiTheme="minorEastAsia" w:hint="eastAsia"/>
                <w:b/>
              </w:rPr>
              <w:t>成效本位</w:t>
            </w:r>
          </w:p>
        </w:tc>
        <w:tc>
          <w:tcPr>
            <w:tcW w:w="1843" w:type="dxa"/>
            <w:vMerge w:val="restart"/>
          </w:tcPr>
          <w:p w:rsidR="00603BE6" w:rsidRDefault="00603BE6" w:rsidP="0025691E">
            <w:pPr>
              <w:rPr>
                <w:rFonts w:asciiTheme="minorEastAsia" w:hAnsiTheme="minorEastAsia"/>
              </w:rPr>
            </w:pPr>
            <w:r>
              <w:rPr>
                <w:rFonts w:asciiTheme="minorEastAsia" w:hAnsiTheme="minorEastAsia" w:hint="eastAsia"/>
              </w:rPr>
              <w:t>素養(成效)目標</w:t>
            </w:r>
          </w:p>
        </w:tc>
        <w:tc>
          <w:tcPr>
            <w:tcW w:w="4119" w:type="dxa"/>
          </w:tcPr>
          <w:p w:rsidR="00603BE6" w:rsidRDefault="00603BE6" w:rsidP="0049649D">
            <w:pPr>
              <w:ind w:left="204" w:hanging="204"/>
              <w:rPr>
                <w:rFonts w:asciiTheme="minorEastAsia" w:hAnsiTheme="minorEastAsia"/>
              </w:rPr>
            </w:pPr>
            <w:r>
              <w:rPr>
                <w:rFonts w:asciiTheme="minorEastAsia" w:hAnsiTheme="minorEastAsia" w:hint="eastAsia"/>
              </w:rPr>
              <w:t>1.素養學習目標</w:t>
            </w:r>
          </w:p>
        </w:tc>
        <w:tc>
          <w:tcPr>
            <w:tcW w:w="1438" w:type="dxa"/>
          </w:tcPr>
          <w:p w:rsidR="00603BE6" w:rsidRDefault="00603BE6" w:rsidP="0025691E">
            <w:pPr>
              <w:rPr>
                <w:rFonts w:asciiTheme="minorEastAsia" w:hAnsiTheme="minorEastAsia"/>
              </w:rPr>
            </w:pPr>
          </w:p>
        </w:tc>
      </w:tr>
      <w:tr w:rsidR="00603BE6" w:rsidTr="007913AE">
        <w:trPr>
          <w:trHeight w:val="312"/>
        </w:trPr>
        <w:tc>
          <w:tcPr>
            <w:tcW w:w="1384" w:type="dxa"/>
            <w:vMerge/>
          </w:tcPr>
          <w:p w:rsidR="00603BE6" w:rsidRPr="00F84F70" w:rsidRDefault="00603BE6" w:rsidP="0025691E">
            <w:pPr>
              <w:rPr>
                <w:rFonts w:asciiTheme="minorEastAsia" w:hAnsiTheme="minorEastAsia"/>
                <w:b/>
              </w:rPr>
            </w:pPr>
          </w:p>
        </w:tc>
        <w:tc>
          <w:tcPr>
            <w:tcW w:w="1843" w:type="dxa"/>
            <w:vMerge/>
          </w:tcPr>
          <w:p w:rsidR="00603BE6" w:rsidRDefault="00603BE6" w:rsidP="0025691E">
            <w:pPr>
              <w:rPr>
                <w:rFonts w:asciiTheme="minorEastAsia" w:hAnsiTheme="minorEastAsia"/>
              </w:rPr>
            </w:pPr>
          </w:p>
        </w:tc>
        <w:tc>
          <w:tcPr>
            <w:tcW w:w="4119" w:type="dxa"/>
          </w:tcPr>
          <w:p w:rsidR="00603BE6" w:rsidRDefault="00603BE6" w:rsidP="0049649D">
            <w:pPr>
              <w:ind w:left="204" w:hanging="204"/>
              <w:rPr>
                <w:rFonts w:asciiTheme="minorEastAsia" w:hAnsiTheme="minorEastAsia"/>
              </w:rPr>
            </w:pPr>
            <w:r>
              <w:rPr>
                <w:rFonts w:asciiTheme="minorEastAsia" w:hAnsiTheme="minorEastAsia" w:hint="eastAsia"/>
              </w:rPr>
              <w:t>2.素養表現基準與預期的樣貌</w:t>
            </w:r>
          </w:p>
        </w:tc>
        <w:tc>
          <w:tcPr>
            <w:tcW w:w="1438" w:type="dxa"/>
          </w:tcPr>
          <w:p w:rsidR="00603BE6" w:rsidRDefault="00603BE6" w:rsidP="0025691E">
            <w:pPr>
              <w:rPr>
                <w:rFonts w:asciiTheme="minorEastAsia" w:hAnsiTheme="minorEastAsia"/>
              </w:rPr>
            </w:pPr>
          </w:p>
        </w:tc>
      </w:tr>
      <w:tr w:rsidR="00603BE6" w:rsidTr="00603BE6">
        <w:trPr>
          <w:trHeight w:val="252"/>
        </w:trPr>
        <w:tc>
          <w:tcPr>
            <w:tcW w:w="1384" w:type="dxa"/>
            <w:vMerge/>
          </w:tcPr>
          <w:p w:rsidR="00603BE6" w:rsidRPr="00F84F70" w:rsidRDefault="00603BE6" w:rsidP="0025691E">
            <w:pPr>
              <w:rPr>
                <w:rFonts w:asciiTheme="minorEastAsia" w:hAnsiTheme="minorEastAsia"/>
                <w:b/>
              </w:rPr>
            </w:pPr>
          </w:p>
        </w:tc>
        <w:tc>
          <w:tcPr>
            <w:tcW w:w="1843" w:type="dxa"/>
            <w:vMerge w:val="restart"/>
          </w:tcPr>
          <w:p w:rsidR="00603BE6" w:rsidRDefault="00603BE6" w:rsidP="0025691E">
            <w:pPr>
              <w:rPr>
                <w:rFonts w:asciiTheme="minorEastAsia" w:hAnsiTheme="minorEastAsia"/>
              </w:rPr>
            </w:pPr>
            <w:r>
              <w:rPr>
                <w:rFonts w:asciiTheme="minorEastAsia" w:hAnsiTheme="minorEastAsia" w:hint="eastAsia"/>
              </w:rPr>
              <w:t>檢核成效的表現任務</w:t>
            </w:r>
          </w:p>
        </w:tc>
        <w:tc>
          <w:tcPr>
            <w:tcW w:w="4119" w:type="dxa"/>
          </w:tcPr>
          <w:p w:rsidR="00603BE6" w:rsidRPr="00A84955" w:rsidRDefault="00603BE6" w:rsidP="0049649D">
            <w:pPr>
              <w:ind w:left="204" w:hanging="204"/>
              <w:rPr>
                <w:rFonts w:asciiTheme="minorEastAsia" w:hAnsiTheme="minorEastAsia"/>
              </w:rPr>
            </w:pPr>
            <w:r>
              <w:rPr>
                <w:rFonts w:asciiTheme="minorEastAsia" w:hAnsiTheme="minorEastAsia" w:hint="eastAsia"/>
              </w:rPr>
              <w:t>1.對應目標的學習任務</w:t>
            </w:r>
          </w:p>
        </w:tc>
        <w:tc>
          <w:tcPr>
            <w:tcW w:w="1438" w:type="dxa"/>
          </w:tcPr>
          <w:p w:rsidR="00603BE6" w:rsidRDefault="00603BE6" w:rsidP="0025691E">
            <w:pPr>
              <w:rPr>
                <w:rFonts w:asciiTheme="minorEastAsia" w:hAnsiTheme="minorEastAsia"/>
              </w:rPr>
            </w:pPr>
          </w:p>
        </w:tc>
      </w:tr>
      <w:tr w:rsidR="00603BE6" w:rsidTr="007913AE">
        <w:trPr>
          <w:trHeight w:val="360"/>
        </w:trPr>
        <w:tc>
          <w:tcPr>
            <w:tcW w:w="1384" w:type="dxa"/>
            <w:vMerge/>
          </w:tcPr>
          <w:p w:rsidR="00603BE6" w:rsidRPr="00F84F70" w:rsidRDefault="00603BE6" w:rsidP="0025691E">
            <w:pPr>
              <w:rPr>
                <w:rFonts w:asciiTheme="minorEastAsia" w:hAnsiTheme="minorEastAsia"/>
                <w:b/>
              </w:rPr>
            </w:pPr>
          </w:p>
        </w:tc>
        <w:tc>
          <w:tcPr>
            <w:tcW w:w="1843" w:type="dxa"/>
            <w:vMerge/>
          </w:tcPr>
          <w:p w:rsidR="00603BE6" w:rsidRDefault="00603BE6" w:rsidP="0025691E">
            <w:pPr>
              <w:rPr>
                <w:rFonts w:asciiTheme="minorEastAsia" w:hAnsiTheme="minorEastAsia"/>
              </w:rPr>
            </w:pPr>
          </w:p>
        </w:tc>
        <w:tc>
          <w:tcPr>
            <w:tcW w:w="4119" w:type="dxa"/>
          </w:tcPr>
          <w:p w:rsidR="00603BE6" w:rsidRDefault="00603BE6" w:rsidP="0049649D">
            <w:pPr>
              <w:ind w:left="204" w:hanging="204"/>
              <w:rPr>
                <w:rFonts w:asciiTheme="minorEastAsia" w:hAnsiTheme="minorEastAsia"/>
              </w:rPr>
            </w:pPr>
            <w:r>
              <w:rPr>
                <w:rFonts w:asciiTheme="minorEastAsia" w:hAnsiTheme="minorEastAsia"/>
              </w:rPr>
              <w:t>2.</w:t>
            </w:r>
            <w:r>
              <w:rPr>
                <w:rFonts w:asciiTheme="minorEastAsia" w:hAnsiTheme="minorEastAsia" w:hint="eastAsia"/>
              </w:rPr>
              <w:t>對應目標的總結性表現任務</w:t>
            </w:r>
          </w:p>
        </w:tc>
        <w:tc>
          <w:tcPr>
            <w:tcW w:w="1438" w:type="dxa"/>
          </w:tcPr>
          <w:p w:rsidR="00603BE6" w:rsidRDefault="00603BE6" w:rsidP="0025691E">
            <w:pPr>
              <w:rPr>
                <w:rFonts w:asciiTheme="minorEastAsia" w:hAnsiTheme="minorEastAsia"/>
              </w:rPr>
            </w:pPr>
          </w:p>
        </w:tc>
      </w:tr>
      <w:tr w:rsidR="00603BE6" w:rsidTr="00603BE6">
        <w:trPr>
          <w:trHeight w:val="265"/>
        </w:trPr>
        <w:tc>
          <w:tcPr>
            <w:tcW w:w="1384" w:type="dxa"/>
            <w:vMerge/>
          </w:tcPr>
          <w:p w:rsidR="00603BE6" w:rsidRPr="00F84F70" w:rsidRDefault="00603BE6" w:rsidP="0025691E">
            <w:pPr>
              <w:rPr>
                <w:rFonts w:asciiTheme="minorEastAsia" w:hAnsiTheme="minorEastAsia"/>
                <w:b/>
              </w:rPr>
            </w:pPr>
          </w:p>
        </w:tc>
        <w:tc>
          <w:tcPr>
            <w:tcW w:w="1843" w:type="dxa"/>
            <w:vMerge w:val="restart"/>
          </w:tcPr>
          <w:p w:rsidR="00603BE6" w:rsidRDefault="00603BE6" w:rsidP="0025691E">
            <w:pPr>
              <w:rPr>
                <w:rFonts w:asciiTheme="minorEastAsia" w:hAnsiTheme="minorEastAsia"/>
              </w:rPr>
            </w:pPr>
            <w:r>
              <w:rPr>
                <w:rFonts w:asciiTheme="minorEastAsia" w:hAnsiTheme="minorEastAsia" w:hint="eastAsia"/>
              </w:rPr>
              <w:t>以終為始，鋪排學習任務</w:t>
            </w:r>
          </w:p>
        </w:tc>
        <w:tc>
          <w:tcPr>
            <w:tcW w:w="4119" w:type="dxa"/>
          </w:tcPr>
          <w:p w:rsidR="00603BE6" w:rsidRDefault="00603BE6" w:rsidP="0049649D">
            <w:pPr>
              <w:ind w:left="204" w:hanging="204"/>
              <w:rPr>
                <w:rFonts w:asciiTheme="minorEastAsia" w:hAnsiTheme="minorEastAsia"/>
              </w:rPr>
            </w:pPr>
            <w:r>
              <w:rPr>
                <w:rFonts w:asciiTheme="minorEastAsia" w:hAnsiTheme="minorEastAsia" w:hint="eastAsia"/>
              </w:rPr>
              <w:t>1.學習任務能累加或深化素養</w:t>
            </w:r>
          </w:p>
        </w:tc>
        <w:tc>
          <w:tcPr>
            <w:tcW w:w="1438" w:type="dxa"/>
          </w:tcPr>
          <w:p w:rsidR="00603BE6" w:rsidRDefault="00603BE6" w:rsidP="0025691E">
            <w:pPr>
              <w:rPr>
                <w:rFonts w:asciiTheme="minorEastAsia" w:hAnsiTheme="minorEastAsia"/>
              </w:rPr>
            </w:pPr>
          </w:p>
        </w:tc>
      </w:tr>
      <w:tr w:rsidR="00603BE6" w:rsidTr="00581662">
        <w:trPr>
          <w:trHeight w:val="660"/>
        </w:trPr>
        <w:tc>
          <w:tcPr>
            <w:tcW w:w="1384" w:type="dxa"/>
            <w:vMerge/>
          </w:tcPr>
          <w:p w:rsidR="00603BE6" w:rsidRPr="00F84F70" w:rsidRDefault="00603BE6" w:rsidP="0025691E">
            <w:pPr>
              <w:rPr>
                <w:rFonts w:asciiTheme="minorEastAsia" w:hAnsiTheme="minorEastAsia"/>
                <w:b/>
              </w:rPr>
            </w:pPr>
          </w:p>
        </w:tc>
        <w:tc>
          <w:tcPr>
            <w:tcW w:w="1843" w:type="dxa"/>
            <w:vMerge/>
          </w:tcPr>
          <w:p w:rsidR="00603BE6" w:rsidRDefault="00603BE6" w:rsidP="0025691E">
            <w:pPr>
              <w:rPr>
                <w:rFonts w:asciiTheme="minorEastAsia" w:hAnsiTheme="minorEastAsia"/>
              </w:rPr>
            </w:pPr>
          </w:p>
        </w:tc>
        <w:tc>
          <w:tcPr>
            <w:tcW w:w="4119" w:type="dxa"/>
          </w:tcPr>
          <w:p w:rsidR="00603BE6" w:rsidRDefault="00603BE6" w:rsidP="0049649D">
            <w:pPr>
              <w:ind w:left="204" w:hanging="204"/>
              <w:rPr>
                <w:rFonts w:asciiTheme="minorEastAsia" w:hAnsiTheme="minorEastAsia"/>
              </w:rPr>
            </w:pPr>
            <w:r>
              <w:rPr>
                <w:rFonts w:asciiTheme="minorEastAsia" w:hAnsiTheme="minorEastAsia" w:hint="eastAsia"/>
              </w:rPr>
              <w:t>2.導向目標的學習任務所組成的學習脈絡</w:t>
            </w:r>
          </w:p>
        </w:tc>
        <w:tc>
          <w:tcPr>
            <w:tcW w:w="1438" w:type="dxa"/>
          </w:tcPr>
          <w:p w:rsidR="00603BE6" w:rsidRDefault="00603BE6" w:rsidP="0025691E">
            <w:pPr>
              <w:rPr>
                <w:rFonts w:asciiTheme="minorEastAsia" w:hAnsiTheme="minorEastAsia"/>
              </w:rPr>
            </w:pPr>
          </w:p>
        </w:tc>
      </w:tr>
      <w:tr w:rsidR="0025691E" w:rsidTr="00603BE6">
        <w:trPr>
          <w:trHeight w:val="324"/>
        </w:trPr>
        <w:tc>
          <w:tcPr>
            <w:tcW w:w="1384" w:type="dxa"/>
            <w:vMerge/>
          </w:tcPr>
          <w:p w:rsidR="0025691E" w:rsidRPr="00F84F70" w:rsidRDefault="0025691E" w:rsidP="0025691E">
            <w:pPr>
              <w:rPr>
                <w:rFonts w:asciiTheme="minorEastAsia" w:hAnsiTheme="minorEastAsia"/>
                <w:b/>
              </w:rPr>
            </w:pPr>
          </w:p>
        </w:tc>
        <w:tc>
          <w:tcPr>
            <w:tcW w:w="1843" w:type="dxa"/>
            <w:vMerge w:val="restart"/>
          </w:tcPr>
          <w:p w:rsidR="0025691E" w:rsidRPr="00F84F70" w:rsidRDefault="0025691E" w:rsidP="0025691E">
            <w:pPr>
              <w:rPr>
                <w:rFonts w:asciiTheme="minorEastAsia" w:hAnsiTheme="minorEastAsia"/>
              </w:rPr>
            </w:pPr>
            <w:r>
              <w:rPr>
                <w:rFonts w:asciiTheme="minorEastAsia" w:hAnsiTheme="minorEastAsia" w:hint="eastAsia"/>
              </w:rPr>
              <w:t>與教學相呼應的</w:t>
            </w:r>
            <w:r w:rsidR="00581662">
              <w:rPr>
                <w:rFonts w:asciiTheme="minorEastAsia" w:hAnsiTheme="minorEastAsia" w:hint="eastAsia"/>
              </w:rPr>
              <w:t>多元</w:t>
            </w:r>
            <w:r>
              <w:rPr>
                <w:rFonts w:asciiTheme="minorEastAsia" w:hAnsiTheme="minorEastAsia" w:hint="eastAsia"/>
              </w:rPr>
              <w:t>學習評量</w:t>
            </w:r>
          </w:p>
        </w:tc>
        <w:tc>
          <w:tcPr>
            <w:tcW w:w="4119" w:type="dxa"/>
          </w:tcPr>
          <w:p w:rsidR="00603BE6" w:rsidRDefault="00603BE6" w:rsidP="0049649D">
            <w:pPr>
              <w:ind w:left="204" w:hanging="204"/>
              <w:rPr>
                <w:rFonts w:asciiTheme="minorEastAsia" w:hAnsiTheme="minorEastAsia"/>
              </w:rPr>
            </w:pPr>
            <w:r>
              <w:rPr>
                <w:rFonts w:asciiTheme="minorEastAsia" w:hAnsiTheme="minorEastAsia" w:hint="eastAsia"/>
              </w:rPr>
              <w:t>1.</w:t>
            </w:r>
            <w:r w:rsidR="0025691E">
              <w:rPr>
                <w:rFonts w:asciiTheme="minorEastAsia" w:hAnsiTheme="minorEastAsia" w:hint="eastAsia"/>
              </w:rPr>
              <w:t>蒐集學生</w:t>
            </w:r>
            <w:r>
              <w:rPr>
                <w:rFonts w:asciiTheme="minorEastAsia" w:hAnsiTheme="minorEastAsia" w:hint="eastAsia"/>
              </w:rPr>
              <w:t>探究</w:t>
            </w:r>
            <w:r w:rsidR="0025691E">
              <w:rPr>
                <w:rFonts w:asciiTheme="minorEastAsia" w:hAnsiTheme="minorEastAsia" w:hint="eastAsia"/>
              </w:rPr>
              <w:t>學習歷程資料的形成性評量</w:t>
            </w:r>
          </w:p>
        </w:tc>
        <w:tc>
          <w:tcPr>
            <w:tcW w:w="1438" w:type="dxa"/>
          </w:tcPr>
          <w:p w:rsidR="0025691E" w:rsidRDefault="0025691E" w:rsidP="0025691E">
            <w:pPr>
              <w:rPr>
                <w:rFonts w:asciiTheme="minorEastAsia" w:hAnsiTheme="minorEastAsia"/>
              </w:rPr>
            </w:pPr>
          </w:p>
        </w:tc>
      </w:tr>
      <w:tr w:rsidR="00603BE6" w:rsidTr="007913AE">
        <w:trPr>
          <w:trHeight w:val="288"/>
        </w:trPr>
        <w:tc>
          <w:tcPr>
            <w:tcW w:w="1384" w:type="dxa"/>
            <w:vMerge/>
          </w:tcPr>
          <w:p w:rsidR="00603BE6" w:rsidRPr="00F84F70" w:rsidRDefault="00603BE6" w:rsidP="0025691E">
            <w:pPr>
              <w:rPr>
                <w:rFonts w:asciiTheme="minorEastAsia" w:hAnsiTheme="minorEastAsia"/>
                <w:b/>
              </w:rPr>
            </w:pPr>
          </w:p>
        </w:tc>
        <w:tc>
          <w:tcPr>
            <w:tcW w:w="1843" w:type="dxa"/>
            <w:vMerge/>
          </w:tcPr>
          <w:p w:rsidR="00603BE6" w:rsidRDefault="00603BE6" w:rsidP="0025691E">
            <w:pPr>
              <w:rPr>
                <w:rFonts w:asciiTheme="minorEastAsia" w:hAnsiTheme="minorEastAsia"/>
              </w:rPr>
            </w:pPr>
          </w:p>
        </w:tc>
        <w:tc>
          <w:tcPr>
            <w:tcW w:w="4119" w:type="dxa"/>
          </w:tcPr>
          <w:p w:rsidR="00603BE6" w:rsidRDefault="00603BE6" w:rsidP="00603BE6">
            <w:pPr>
              <w:rPr>
                <w:rFonts w:asciiTheme="minorEastAsia" w:hAnsiTheme="minorEastAsia"/>
              </w:rPr>
            </w:pPr>
            <w:r>
              <w:rPr>
                <w:rFonts w:asciiTheme="minorEastAsia" w:hAnsiTheme="minorEastAsia" w:hint="eastAsia"/>
              </w:rPr>
              <w:t>2.教學/形成性評量策略/工具之運用</w:t>
            </w:r>
          </w:p>
        </w:tc>
        <w:tc>
          <w:tcPr>
            <w:tcW w:w="1438" w:type="dxa"/>
          </w:tcPr>
          <w:p w:rsidR="00603BE6" w:rsidRDefault="00603BE6" w:rsidP="0025691E">
            <w:pPr>
              <w:rPr>
                <w:rFonts w:asciiTheme="minorEastAsia" w:hAnsiTheme="minorEastAsia"/>
              </w:rPr>
            </w:pPr>
          </w:p>
        </w:tc>
      </w:tr>
      <w:tr w:rsidR="0025691E" w:rsidRPr="00A84955" w:rsidTr="007913AE">
        <w:trPr>
          <w:trHeight w:val="315"/>
        </w:trPr>
        <w:tc>
          <w:tcPr>
            <w:tcW w:w="1384" w:type="dxa"/>
            <w:vMerge/>
          </w:tcPr>
          <w:p w:rsidR="0025691E" w:rsidRPr="00F84F70" w:rsidRDefault="0025691E" w:rsidP="0025691E">
            <w:pPr>
              <w:rPr>
                <w:rFonts w:asciiTheme="minorEastAsia" w:hAnsiTheme="minorEastAsia"/>
                <w:b/>
              </w:rPr>
            </w:pPr>
          </w:p>
        </w:tc>
        <w:tc>
          <w:tcPr>
            <w:tcW w:w="1843" w:type="dxa"/>
            <w:vMerge/>
          </w:tcPr>
          <w:p w:rsidR="0025691E" w:rsidRDefault="0025691E" w:rsidP="0025691E">
            <w:pPr>
              <w:rPr>
                <w:rFonts w:asciiTheme="minorEastAsia" w:hAnsiTheme="minorEastAsia"/>
              </w:rPr>
            </w:pPr>
          </w:p>
        </w:tc>
        <w:tc>
          <w:tcPr>
            <w:tcW w:w="4119" w:type="dxa"/>
          </w:tcPr>
          <w:p w:rsidR="00581662" w:rsidRDefault="00603BE6" w:rsidP="0025691E">
            <w:pPr>
              <w:rPr>
                <w:rFonts w:asciiTheme="minorEastAsia" w:hAnsiTheme="minorEastAsia"/>
              </w:rPr>
            </w:pPr>
            <w:r>
              <w:rPr>
                <w:rFonts w:asciiTheme="minorEastAsia" w:hAnsiTheme="minorEastAsia" w:hint="eastAsia"/>
              </w:rPr>
              <w:t>3.</w:t>
            </w:r>
            <w:r w:rsidR="0025691E">
              <w:rPr>
                <w:rFonts w:asciiTheme="minorEastAsia" w:hAnsiTheme="minorEastAsia" w:hint="eastAsia"/>
              </w:rPr>
              <w:t>蒐集學生成效證據的總結性評量</w:t>
            </w:r>
          </w:p>
        </w:tc>
        <w:tc>
          <w:tcPr>
            <w:tcW w:w="1438" w:type="dxa"/>
          </w:tcPr>
          <w:p w:rsidR="0025691E" w:rsidRDefault="0025691E" w:rsidP="0025691E">
            <w:pPr>
              <w:rPr>
                <w:rFonts w:asciiTheme="minorEastAsia" w:hAnsiTheme="minorEastAsia"/>
              </w:rPr>
            </w:pPr>
          </w:p>
        </w:tc>
      </w:tr>
      <w:tr w:rsidR="0025691E" w:rsidRPr="00A84955" w:rsidTr="007913AE">
        <w:trPr>
          <w:trHeight w:val="315"/>
        </w:trPr>
        <w:tc>
          <w:tcPr>
            <w:tcW w:w="1384" w:type="dxa"/>
            <w:vMerge/>
          </w:tcPr>
          <w:p w:rsidR="0025691E" w:rsidRPr="00F84F70" w:rsidRDefault="0025691E" w:rsidP="0025691E">
            <w:pPr>
              <w:rPr>
                <w:rFonts w:asciiTheme="minorEastAsia" w:hAnsiTheme="minorEastAsia"/>
                <w:b/>
              </w:rPr>
            </w:pPr>
          </w:p>
        </w:tc>
        <w:tc>
          <w:tcPr>
            <w:tcW w:w="1843" w:type="dxa"/>
            <w:vMerge/>
          </w:tcPr>
          <w:p w:rsidR="0025691E" w:rsidRDefault="0025691E" w:rsidP="0025691E">
            <w:pPr>
              <w:rPr>
                <w:rFonts w:asciiTheme="minorEastAsia" w:hAnsiTheme="minorEastAsia"/>
              </w:rPr>
            </w:pPr>
          </w:p>
        </w:tc>
        <w:tc>
          <w:tcPr>
            <w:tcW w:w="4119" w:type="dxa"/>
          </w:tcPr>
          <w:p w:rsidR="0025691E" w:rsidRDefault="00603BE6" w:rsidP="00A50843">
            <w:pPr>
              <w:rPr>
                <w:rFonts w:asciiTheme="minorEastAsia" w:hAnsiTheme="minorEastAsia"/>
              </w:rPr>
            </w:pPr>
            <w:r>
              <w:rPr>
                <w:rFonts w:asciiTheme="minorEastAsia" w:hAnsiTheme="minorEastAsia" w:hint="eastAsia"/>
              </w:rPr>
              <w:t>4.</w:t>
            </w:r>
            <w:r w:rsidR="00A50843">
              <w:rPr>
                <w:rFonts w:asciiTheme="minorEastAsia" w:hAnsiTheme="minorEastAsia" w:hint="eastAsia"/>
              </w:rPr>
              <w:t>重要學習任務的</w:t>
            </w:r>
            <w:r>
              <w:rPr>
                <w:rFonts w:asciiTheme="minorEastAsia" w:hAnsiTheme="minorEastAsia" w:hint="eastAsia"/>
              </w:rPr>
              <w:t>評量</w:t>
            </w:r>
            <w:r w:rsidR="00A50843">
              <w:rPr>
                <w:rFonts w:asciiTheme="minorEastAsia" w:hAnsiTheme="minorEastAsia" w:hint="eastAsia"/>
              </w:rPr>
              <w:t>規準</w:t>
            </w:r>
            <w:r w:rsidR="0025691E">
              <w:rPr>
                <w:rFonts w:asciiTheme="minorEastAsia" w:hAnsiTheme="minorEastAsia" w:hint="eastAsia"/>
              </w:rPr>
              <w:t>設定</w:t>
            </w:r>
          </w:p>
        </w:tc>
        <w:tc>
          <w:tcPr>
            <w:tcW w:w="1438" w:type="dxa"/>
          </w:tcPr>
          <w:p w:rsidR="0025691E" w:rsidRDefault="0025691E" w:rsidP="0025691E">
            <w:pPr>
              <w:rPr>
                <w:rFonts w:asciiTheme="minorEastAsia" w:hAnsiTheme="minorEastAsia"/>
              </w:rPr>
            </w:pPr>
          </w:p>
        </w:tc>
      </w:tr>
    </w:tbl>
    <w:p w:rsidR="00AF4069" w:rsidRDefault="007913AE" w:rsidP="007913AE">
      <w:pPr>
        <w:jc w:val="both"/>
      </w:pPr>
      <w:r>
        <w:rPr>
          <w:rFonts w:hint="eastAsia"/>
        </w:rPr>
        <w:t xml:space="preserve">                                                                                       </w:t>
      </w:r>
      <w:r w:rsidR="00581662">
        <w:rPr>
          <w:rFonts w:hint="eastAsia"/>
        </w:rPr>
        <w:t>2020.</w:t>
      </w:r>
      <w:r>
        <w:rPr>
          <w:rFonts w:hint="eastAsia"/>
        </w:rPr>
        <w:t>08</w:t>
      </w:r>
      <w:r w:rsidR="00581662">
        <w:rPr>
          <w:rFonts w:hint="eastAsia"/>
        </w:rPr>
        <w:t>/2021.09</w:t>
      </w:r>
      <w:r>
        <w:rPr>
          <w:rFonts w:hint="eastAsia"/>
        </w:rPr>
        <w:t>, 吳璧純</w:t>
      </w:r>
    </w:p>
    <w:p w:rsidR="00AF4069" w:rsidRPr="00AF4069" w:rsidRDefault="00AF4069"/>
    <w:p w:rsidR="00AF4069" w:rsidRDefault="00AF4069"/>
    <w:p w:rsidR="00581662" w:rsidRDefault="00581662"/>
    <w:p w:rsidR="00581662" w:rsidRDefault="00581662">
      <w:r>
        <w:br w:type="page"/>
      </w:r>
    </w:p>
    <w:p w:rsidR="00581662" w:rsidRDefault="00581662">
      <w:r>
        <w:rPr>
          <w:rFonts w:hint="eastAsia"/>
        </w:rPr>
        <w:t>四、</w:t>
      </w:r>
      <w:r w:rsidR="00462CA2">
        <w:rPr>
          <w:rFonts w:hint="eastAsia"/>
        </w:rPr>
        <w:t>課室</w:t>
      </w:r>
      <w:r>
        <w:rPr>
          <w:rFonts w:hint="eastAsia"/>
        </w:rPr>
        <w:t>素養導向紙筆評量設計</w:t>
      </w:r>
    </w:p>
    <w:p w:rsidR="00543968" w:rsidRDefault="00543968"/>
    <w:tbl>
      <w:tblPr>
        <w:tblStyle w:val="a3"/>
        <w:tblW w:w="9781" w:type="dxa"/>
        <w:tblInd w:w="-714" w:type="dxa"/>
        <w:tblLook w:val="04A0" w:firstRow="1" w:lastRow="0" w:firstColumn="1" w:lastColumn="0" w:noHBand="0" w:noVBand="1"/>
      </w:tblPr>
      <w:tblGrid>
        <w:gridCol w:w="1530"/>
        <w:gridCol w:w="6658"/>
        <w:gridCol w:w="1593"/>
      </w:tblGrid>
      <w:tr w:rsidR="00581662" w:rsidTr="00662924">
        <w:tc>
          <w:tcPr>
            <w:tcW w:w="9781" w:type="dxa"/>
            <w:gridSpan w:val="3"/>
            <w:shd w:val="clear" w:color="auto" w:fill="D9D9D9" w:themeFill="background1" w:themeFillShade="D9"/>
          </w:tcPr>
          <w:p w:rsidR="00581662" w:rsidRPr="00543968" w:rsidRDefault="00462CA2" w:rsidP="00662924">
            <w:pPr>
              <w:jc w:val="center"/>
              <w:rPr>
                <w:rFonts w:eastAsia="微軟正黑體"/>
                <w:b/>
              </w:rPr>
            </w:pPr>
            <w:r w:rsidRPr="00543968">
              <w:rPr>
                <w:rFonts w:eastAsia="微軟正黑體" w:hint="eastAsia"/>
                <w:b/>
              </w:rPr>
              <w:t>課室</w:t>
            </w:r>
            <w:r w:rsidR="00581662" w:rsidRPr="00543968">
              <w:rPr>
                <w:rFonts w:eastAsia="微軟正黑體" w:hint="eastAsia"/>
                <w:b/>
              </w:rPr>
              <w:t>素養導向紙筆評量設計之檢核表</w:t>
            </w:r>
          </w:p>
        </w:tc>
      </w:tr>
      <w:tr w:rsidR="00581662" w:rsidTr="00662924">
        <w:tc>
          <w:tcPr>
            <w:tcW w:w="1530" w:type="dxa"/>
            <w:shd w:val="clear" w:color="auto" w:fill="D9D9D9" w:themeFill="background1" w:themeFillShade="D9"/>
          </w:tcPr>
          <w:p w:rsidR="00581662" w:rsidRPr="00543968" w:rsidRDefault="00581662" w:rsidP="00662924">
            <w:pPr>
              <w:rPr>
                <w:rFonts w:eastAsia="微軟正黑體"/>
                <w:b/>
              </w:rPr>
            </w:pPr>
            <w:r w:rsidRPr="00543968">
              <w:rPr>
                <w:rFonts w:eastAsia="微軟正黑體" w:hint="eastAsia"/>
                <w:b/>
              </w:rPr>
              <w:t xml:space="preserve"> 項目</w:t>
            </w:r>
          </w:p>
        </w:tc>
        <w:tc>
          <w:tcPr>
            <w:tcW w:w="6658" w:type="dxa"/>
            <w:shd w:val="clear" w:color="auto" w:fill="D9D9D9" w:themeFill="background1" w:themeFillShade="D9"/>
          </w:tcPr>
          <w:p w:rsidR="00581662" w:rsidRPr="00543968" w:rsidRDefault="00662924" w:rsidP="00662924">
            <w:pPr>
              <w:rPr>
                <w:rFonts w:eastAsia="微軟正黑體"/>
                <w:b/>
              </w:rPr>
            </w:pPr>
            <w:r w:rsidRPr="00543968">
              <w:rPr>
                <w:rFonts w:eastAsia="微軟正黑體" w:hint="eastAsia"/>
                <w:b/>
              </w:rPr>
              <w:t>原則與</w:t>
            </w:r>
            <w:r w:rsidR="00581662" w:rsidRPr="00543968">
              <w:rPr>
                <w:rFonts w:eastAsia="微軟正黑體" w:hint="eastAsia"/>
                <w:b/>
              </w:rPr>
              <w:t>內涵</w:t>
            </w:r>
          </w:p>
        </w:tc>
        <w:tc>
          <w:tcPr>
            <w:tcW w:w="1593" w:type="dxa"/>
            <w:shd w:val="clear" w:color="auto" w:fill="D9D9D9" w:themeFill="background1" w:themeFillShade="D9"/>
          </w:tcPr>
          <w:p w:rsidR="00581662" w:rsidRPr="00543968" w:rsidRDefault="00581662" w:rsidP="00662924">
            <w:pPr>
              <w:rPr>
                <w:rFonts w:eastAsia="微軟正黑體"/>
                <w:b/>
              </w:rPr>
            </w:pPr>
            <w:r w:rsidRPr="00543968">
              <w:rPr>
                <w:rFonts w:eastAsia="微軟正黑體" w:hint="eastAsia"/>
                <w:b/>
              </w:rPr>
              <w:t>做到打V</w:t>
            </w:r>
          </w:p>
        </w:tc>
      </w:tr>
      <w:tr w:rsidR="00603BE6" w:rsidTr="008E0FD8">
        <w:trPr>
          <w:trHeight w:val="326"/>
        </w:trPr>
        <w:tc>
          <w:tcPr>
            <w:tcW w:w="1530" w:type="dxa"/>
            <w:vMerge w:val="restart"/>
          </w:tcPr>
          <w:p w:rsidR="000A0434" w:rsidRDefault="00603BE6" w:rsidP="00662924">
            <w:pPr>
              <w:rPr>
                <w:b/>
              </w:rPr>
            </w:pPr>
            <w:r>
              <w:rPr>
                <w:rFonts w:hint="eastAsia"/>
                <w:b/>
              </w:rPr>
              <w:t>學習目標</w:t>
            </w:r>
          </w:p>
          <w:p w:rsidR="00603BE6" w:rsidRPr="00581662" w:rsidRDefault="00603BE6" w:rsidP="00662924">
            <w:pPr>
              <w:rPr>
                <w:b/>
              </w:rPr>
            </w:pPr>
            <w:r>
              <w:rPr>
                <w:rFonts w:hint="eastAsia"/>
                <w:b/>
              </w:rPr>
              <w:t>與教學</w:t>
            </w:r>
          </w:p>
        </w:tc>
        <w:tc>
          <w:tcPr>
            <w:tcW w:w="6658" w:type="dxa"/>
          </w:tcPr>
          <w:p w:rsidR="00603BE6" w:rsidRDefault="00603BE6" w:rsidP="0049649D">
            <w:pPr>
              <w:ind w:left="202" w:hanging="202"/>
            </w:pPr>
            <w:r>
              <w:t>1.</w:t>
            </w:r>
            <w:r>
              <w:rPr>
                <w:rFonts w:hint="eastAsia"/>
              </w:rPr>
              <w:t>有素養導向教學的實施，才有素養學習評量的進行</w:t>
            </w:r>
          </w:p>
        </w:tc>
        <w:tc>
          <w:tcPr>
            <w:tcW w:w="1593" w:type="dxa"/>
          </w:tcPr>
          <w:p w:rsidR="00603BE6" w:rsidRDefault="00603BE6" w:rsidP="00662924"/>
        </w:tc>
      </w:tr>
      <w:tr w:rsidR="008E0FD8" w:rsidTr="00662924">
        <w:trPr>
          <w:trHeight w:val="492"/>
        </w:trPr>
        <w:tc>
          <w:tcPr>
            <w:tcW w:w="1530" w:type="dxa"/>
            <w:vMerge/>
          </w:tcPr>
          <w:p w:rsidR="008E0FD8" w:rsidRDefault="008E0FD8" w:rsidP="00662924">
            <w:pPr>
              <w:rPr>
                <w:b/>
              </w:rPr>
            </w:pPr>
          </w:p>
        </w:tc>
        <w:tc>
          <w:tcPr>
            <w:tcW w:w="6658" w:type="dxa"/>
          </w:tcPr>
          <w:p w:rsidR="008E0FD8" w:rsidRDefault="008E0FD8" w:rsidP="0049649D">
            <w:pPr>
              <w:ind w:left="202" w:hanging="202"/>
            </w:pPr>
            <w:r>
              <w:rPr>
                <w:rFonts w:hint="eastAsia"/>
              </w:rPr>
              <w:t>2.</w:t>
            </w:r>
            <w:r>
              <w:rPr>
                <w:rFonts w:hint="eastAsia"/>
              </w:rPr>
              <w:t>宜配合課程的學習任務，規劃紙筆評量題</w:t>
            </w:r>
          </w:p>
        </w:tc>
        <w:tc>
          <w:tcPr>
            <w:tcW w:w="1593" w:type="dxa"/>
          </w:tcPr>
          <w:p w:rsidR="008E0FD8" w:rsidRDefault="008E0FD8" w:rsidP="00662924"/>
        </w:tc>
      </w:tr>
      <w:tr w:rsidR="00603BE6" w:rsidTr="00F126CA">
        <w:trPr>
          <w:trHeight w:val="432"/>
        </w:trPr>
        <w:tc>
          <w:tcPr>
            <w:tcW w:w="1530" w:type="dxa"/>
            <w:vMerge/>
          </w:tcPr>
          <w:p w:rsidR="00603BE6" w:rsidRPr="00581662" w:rsidRDefault="00603BE6" w:rsidP="00662924">
            <w:pPr>
              <w:rPr>
                <w:b/>
              </w:rPr>
            </w:pPr>
          </w:p>
        </w:tc>
        <w:tc>
          <w:tcPr>
            <w:tcW w:w="6658" w:type="dxa"/>
          </w:tcPr>
          <w:p w:rsidR="00603BE6" w:rsidRDefault="00603BE6" w:rsidP="0049649D">
            <w:pPr>
              <w:ind w:left="202" w:hanging="202"/>
            </w:pPr>
            <w:r>
              <w:t xml:space="preserve">3. </w:t>
            </w:r>
            <w:r>
              <w:rPr>
                <w:rFonts w:hint="eastAsia"/>
              </w:rPr>
              <w:t>對應素養學習目標出題，目標中若無閱讀理解素養，不宜有長長的</w:t>
            </w:r>
            <w:r w:rsidR="008E0FD8">
              <w:rPr>
                <w:rFonts w:hint="eastAsia"/>
              </w:rPr>
              <w:t>或與評量目標較無關聯的</w:t>
            </w:r>
            <w:r>
              <w:rPr>
                <w:rFonts w:hint="eastAsia"/>
              </w:rPr>
              <w:t>閱讀文本</w:t>
            </w:r>
          </w:p>
        </w:tc>
        <w:tc>
          <w:tcPr>
            <w:tcW w:w="1593" w:type="dxa"/>
          </w:tcPr>
          <w:p w:rsidR="00603BE6" w:rsidRDefault="00603BE6" w:rsidP="00662924"/>
        </w:tc>
      </w:tr>
      <w:tr w:rsidR="00603BE6" w:rsidTr="00603BE6">
        <w:trPr>
          <w:trHeight w:val="780"/>
        </w:trPr>
        <w:tc>
          <w:tcPr>
            <w:tcW w:w="1530" w:type="dxa"/>
            <w:vMerge/>
          </w:tcPr>
          <w:p w:rsidR="00603BE6" w:rsidRPr="00581662" w:rsidRDefault="00603BE6" w:rsidP="00662924">
            <w:pPr>
              <w:rPr>
                <w:b/>
              </w:rPr>
            </w:pPr>
          </w:p>
        </w:tc>
        <w:tc>
          <w:tcPr>
            <w:tcW w:w="6658" w:type="dxa"/>
          </w:tcPr>
          <w:p w:rsidR="00603BE6" w:rsidRDefault="00603BE6" w:rsidP="0049649D">
            <w:pPr>
              <w:ind w:left="202" w:hanging="202"/>
            </w:pPr>
            <w:r>
              <w:t>4.</w:t>
            </w:r>
            <w:r>
              <w:rPr>
                <w:rFonts w:hint="eastAsia"/>
              </w:rPr>
              <w:t>考量學生基本知識與素養學習的比例出定期</w:t>
            </w:r>
            <w:r w:rsidR="008E0FD8">
              <w:rPr>
                <w:rFonts w:hint="eastAsia"/>
              </w:rPr>
              <w:t>評量</w:t>
            </w:r>
            <w:r>
              <w:rPr>
                <w:rFonts w:hint="eastAsia"/>
              </w:rPr>
              <w:t>題，不宜</w:t>
            </w:r>
            <w:r w:rsidR="008E0FD8">
              <w:rPr>
                <w:rFonts w:hint="eastAsia"/>
              </w:rPr>
              <w:t>因過多的素養題，讓考試</w:t>
            </w:r>
            <w:r>
              <w:rPr>
                <w:rFonts w:hint="eastAsia"/>
              </w:rPr>
              <w:t>成為速度測驗</w:t>
            </w:r>
          </w:p>
        </w:tc>
        <w:tc>
          <w:tcPr>
            <w:tcW w:w="1593" w:type="dxa"/>
          </w:tcPr>
          <w:p w:rsidR="00603BE6" w:rsidRDefault="00603BE6" w:rsidP="00662924"/>
        </w:tc>
      </w:tr>
      <w:tr w:rsidR="00603BE6" w:rsidTr="00662924">
        <w:trPr>
          <w:trHeight w:val="663"/>
        </w:trPr>
        <w:tc>
          <w:tcPr>
            <w:tcW w:w="1530" w:type="dxa"/>
            <w:vMerge/>
          </w:tcPr>
          <w:p w:rsidR="00603BE6" w:rsidRPr="00581662" w:rsidRDefault="00603BE6" w:rsidP="00662924">
            <w:pPr>
              <w:rPr>
                <w:b/>
              </w:rPr>
            </w:pPr>
          </w:p>
        </w:tc>
        <w:tc>
          <w:tcPr>
            <w:tcW w:w="6658" w:type="dxa"/>
          </w:tcPr>
          <w:p w:rsidR="00603BE6" w:rsidRDefault="00603BE6" w:rsidP="0049649D">
            <w:pPr>
              <w:ind w:left="202" w:hanging="202"/>
            </w:pPr>
            <w:r>
              <w:t>5.</w:t>
            </w:r>
            <w:r>
              <w:rPr>
                <w:rFonts w:hint="eastAsia"/>
              </w:rPr>
              <w:t>宜配合課室任務型的總結性評量，整體規劃定期考之素養評量題</w:t>
            </w:r>
            <w:r w:rsidR="008E0FD8">
              <w:rPr>
                <w:rFonts w:hint="eastAsia"/>
              </w:rPr>
              <w:t>命題</w:t>
            </w:r>
          </w:p>
        </w:tc>
        <w:tc>
          <w:tcPr>
            <w:tcW w:w="1593" w:type="dxa"/>
          </w:tcPr>
          <w:p w:rsidR="00603BE6" w:rsidRDefault="00603BE6" w:rsidP="00662924"/>
        </w:tc>
      </w:tr>
      <w:tr w:rsidR="00581662" w:rsidTr="00662924">
        <w:trPr>
          <w:trHeight w:val="455"/>
        </w:trPr>
        <w:tc>
          <w:tcPr>
            <w:tcW w:w="1530" w:type="dxa"/>
            <w:vMerge w:val="restart"/>
          </w:tcPr>
          <w:p w:rsidR="000A0434" w:rsidRDefault="00462CA2" w:rsidP="00662924">
            <w:pPr>
              <w:rPr>
                <w:b/>
              </w:rPr>
            </w:pPr>
            <w:r>
              <w:rPr>
                <w:rFonts w:hint="eastAsia"/>
                <w:b/>
              </w:rPr>
              <w:t>素養命題</w:t>
            </w:r>
          </w:p>
          <w:p w:rsidR="00581662" w:rsidRPr="00581662" w:rsidRDefault="000A0434" w:rsidP="00662924">
            <w:pPr>
              <w:rPr>
                <w:b/>
              </w:rPr>
            </w:pPr>
            <w:r>
              <w:rPr>
                <w:rFonts w:hint="eastAsia"/>
                <w:b/>
              </w:rPr>
              <w:t>要素</w:t>
            </w:r>
          </w:p>
        </w:tc>
        <w:tc>
          <w:tcPr>
            <w:tcW w:w="6658" w:type="dxa"/>
          </w:tcPr>
          <w:p w:rsidR="00581662" w:rsidRDefault="00581662" w:rsidP="0049649D">
            <w:pPr>
              <w:ind w:left="202" w:hanging="202"/>
            </w:pPr>
            <w:r>
              <w:rPr>
                <w:rFonts w:hint="eastAsia"/>
              </w:rPr>
              <w:t>1.</w:t>
            </w:r>
            <w:r w:rsidR="00462CA2">
              <w:rPr>
                <w:rFonts w:hint="eastAsia"/>
              </w:rPr>
              <w:t>素養</w:t>
            </w:r>
            <w:r w:rsidR="00F126CA">
              <w:rPr>
                <w:rFonts w:hint="eastAsia"/>
              </w:rPr>
              <w:t>紙筆</w:t>
            </w:r>
            <w:r w:rsidR="00462CA2">
              <w:rPr>
                <w:rFonts w:hint="eastAsia"/>
              </w:rPr>
              <w:t>題也</w:t>
            </w:r>
            <w:r w:rsidR="00F126CA">
              <w:rPr>
                <w:rFonts w:hint="eastAsia"/>
              </w:rPr>
              <w:t>具有</w:t>
            </w:r>
            <w:r w:rsidR="00462CA2">
              <w:rPr>
                <w:rFonts w:asciiTheme="minorEastAsia" w:hAnsiTheme="minorEastAsia" w:hint="eastAsia"/>
              </w:rPr>
              <w:t>「任務</w:t>
            </w:r>
            <w:r w:rsidR="004E2CE2">
              <w:rPr>
                <w:rFonts w:asciiTheme="minorEastAsia" w:hAnsiTheme="minorEastAsia" w:hint="eastAsia"/>
              </w:rPr>
              <w:t>表現</w:t>
            </w:r>
            <w:r w:rsidR="00462CA2">
              <w:rPr>
                <w:rFonts w:ascii="新細明體" w:eastAsia="新細明體" w:hAnsi="新細明體" w:hint="eastAsia"/>
              </w:rPr>
              <w:t>」</w:t>
            </w:r>
            <w:r w:rsidR="00F126CA">
              <w:rPr>
                <w:rFonts w:ascii="新細明體" w:eastAsia="新細明體" w:hAnsi="新細明體" w:hint="eastAsia"/>
              </w:rPr>
              <w:t>特性</w:t>
            </w:r>
            <w:r w:rsidR="00462CA2">
              <w:rPr>
                <w:rFonts w:ascii="新細明體" w:eastAsia="新細明體" w:hAnsi="新細明體" w:hint="eastAsia"/>
              </w:rPr>
              <w:t>，包括情境</w:t>
            </w:r>
            <w:r w:rsidR="00F126CA">
              <w:rPr>
                <w:rFonts w:ascii="新細明體" w:eastAsia="新細明體" w:hAnsi="新細明體" w:hint="eastAsia"/>
              </w:rPr>
              <w:t>任務的</w:t>
            </w:r>
            <w:r w:rsidR="00462CA2">
              <w:rPr>
                <w:rFonts w:ascii="新細明體" w:eastAsia="新細明體" w:hAnsi="新細明體" w:hint="eastAsia"/>
              </w:rPr>
              <w:t>安排</w:t>
            </w:r>
            <w:r w:rsidR="00F126CA">
              <w:rPr>
                <w:rFonts w:ascii="新細明體" w:eastAsia="新細明體" w:hAnsi="新細明體" w:hint="eastAsia"/>
              </w:rPr>
              <w:t>，以及</w:t>
            </w:r>
            <w:r w:rsidR="00462CA2">
              <w:rPr>
                <w:rFonts w:ascii="新細明體" w:eastAsia="新細明體" w:hAnsi="新細明體" w:hint="eastAsia"/>
              </w:rPr>
              <w:t>歷程與結果的表現</w:t>
            </w:r>
            <w:r w:rsidR="00F126CA">
              <w:rPr>
                <w:rFonts w:ascii="新細明體" w:eastAsia="新細明體" w:hAnsi="新細明體" w:hint="eastAsia"/>
              </w:rPr>
              <w:t>空間</w:t>
            </w:r>
          </w:p>
        </w:tc>
        <w:tc>
          <w:tcPr>
            <w:tcW w:w="1593" w:type="dxa"/>
          </w:tcPr>
          <w:p w:rsidR="00581662" w:rsidRDefault="00581662" w:rsidP="00662924"/>
        </w:tc>
      </w:tr>
      <w:tr w:rsidR="00462CA2" w:rsidTr="00462CA2">
        <w:trPr>
          <w:trHeight w:val="964"/>
        </w:trPr>
        <w:tc>
          <w:tcPr>
            <w:tcW w:w="1530" w:type="dxa"/>
            <w:vMerge/>
          </w:tcPr>
          <w:p w:rsidR="00462CA2" w:rsidRDefault="00462CA2" w:rsidP="00662924"/>
        </w:tc>
        <w:tc>
          <w:tcPr>
            <w:tcW w:w="6658" w:type="dxa"/>
          </w:tcPr>
          <w:p w:rsidR="00462CA2" w:rsidRDefault="00462CA2" w:rsidP="0049649D">
            <w:pPr>
              <w:ind w:left="202" w:hanging="202"/>
            </w:pPr>
            <w:r>
              <w:rPr>
                <w:rFonts w:hint="eastAsia"/>
              </w:rPr>
              <w:t>2.</w:t>
            </w:r>
            <w:r>
              <w:rPr>
                <w:rFonts w:hint="eastAsia"/>
              </w:rPr>
              <w:t>命題</w:t>
            </w:r>
            <w:r w:rsidR="00F126CA">
              <w:rPr>
                <w:rFonts w:hint="eastAsia"/>
              </w:rPr>
              <w:t>應</w:t>
            </w:r>
            <w:r>
              <w:rPr>
                <w:rFonts w:hint="eastAsia"/>
              </w:rPr>
              <w:t>為高層次認知</w:t>
            </w:r>
            <w:r>
              <w:rPr>
                <w:rFonts w:hint="eastAsia"/>
              </w:rPr>
              <w:t xml:space="preserve"> (</w:t>
            </w:r>
            <w:r w:rsidR="00F126CA">
              <w:rPr>
                <w:rFonts w:hint="eastAsia"/>
              </w:rPr>
              <w:t>具有</w:t>
            </w:r>
            <w:r>
              <w:rPr>
                <w:rFonts w:hint="eastAsia"/>
              </w:rPr>
              <w:t>Bloom</w:t>
            </w:r>
            <w:r w:rsidR="00F126CA">
              <w:rPr>
                <w:rFonts w:hint="eastAsia"/>
              </w:rPr>
              <w:t>的</w:t>
            </w:r>
            <w:r>
              <w:rPr>
                <w:rFonts w:hint="eastAsia"/>
              </w:rPr>
              <w:t>認知教育目標，應用層次以上</w:t>
            </w:r>
            <w:r>
              <w:rPr>
                <w:rFonts w:hint="eastAsia"/>
              </w:rPr>
              <w:t>)</w:t>
            </w:r>
          </w:p>
        </w:tc>
        <w:tc>
          <w:tcPr>
            <w:tcW w:w="1593" w:type="dxa"/>
            <w:shd w:val="clear" w:color="auto" w:fill="auto"/>
          </w:tcPr>
          <w:p w:rsidR="00462CA2" w:rsidRDefault="00462CA2" w:rsidP="00662924"/>
        </w:tc>
      </w:tr>
      <w:tr w:rsidR="00581662" w:rsidTr="004E2CE2">
        <w:trPr>
          <w:trHeight w:val="478"/>
        </w:trPr>
        <w:tc>
          <w:tcPr>
            <w:tcW w:w="1530" w:type="dxa"/>
            <w:vMerge/>
          </w:tcPr>
          <w:p w:rsidR="00581662" w:rsidRDefault="00581662" w:rsidP="00662924"/>
        </w:tc>
        <w:tc>
          <w:tcPr>
            <w:tcW w:w="6658" w:type="dxa"/>
          </w:tcPr>
          <w:p w:rsidR="00581662" w:rsidRDefault="00462CA2" w:rsidP="0049649D">
            <w:pPr>
              <w:ind w:left="202" w:hanging="202"/>
            </w:pPr>
            <w:r>
              <w:t>3.</w:t>
            </w:r>
            <w:r w:rsidR="004E2CE2">
              <w:rPr>
                <w:rFonts w:hint="eastAsia"/>
              </w:rPr>
              <w:t xml:space="preserve"> </w:t>
            </w:r>
            <w:r w:rsidR="004E2CE2">
              <w:rPr>
                <w:rFonts w:hint="eastAsia"/>
              </w:rPr>
              <w:t>評量學生的深度知識與思考技能的整合表現</w:t>
            </w:r>
          </w:p>
        </w:tc>
        <w:tc>
          <w:tcPr>
            <w:tcW w:w="1593" w:type="dxa"/>
          </w:tcPr>
          <w:p w:rsidR="00581662" w:rsidRDefault="00581662" w:rsidP="00662924"/>
        </w:tc>
      </w:tr>
      <w:tr w:rsidR="00581662" w:rsidTr="00662924">
        <w:trPr>
          <w:trHeight w:val="648"/>
        </w:trPr>
        <w:tc>
          <w:tcPr>
            <w:tcW w:w="1530" w:type="dxa"/>
            <w:vMerge/>
          </w:tcPr>
          <w:p w:rsidR="00581662" w:rsidRDefault="00581662" w:rsidP="00662924"/>
        </w:tc>
        <w:tc>
          <w:tcPr>
            <w:tcW w:w="6658" w:type="dxa"/>
          </w:tcPr>
          <w:p w:rsidR="00581662" w:rsidRDefault="00581662" w:rsidP="0049649D">
            <w:pPr>
              <w:ind w:left="202" w:hanging="202"/>
            </w:pPr>
            <w:r>
              <w:t>4.</w:t>
            </w:r>
            <w:r w:rsidR="004E2CE2">
              <w:t xml:space="preserve"> </w:t>
            </w:r>
            <w:r w:rsidR="004E2CE2">
              <w:rPr>
                <w:rFonts w:hint="eastAsia"/>
              </w:rPr>
              <w:t>情境為真實情境，可以是學術探究情境</w:t>
            </w:r>
            <w:r w:rsidR="004E2CE2">
              <w:rPr>
                <w:rFonts w:hint="eastAsia"/>
              </w:rPr>
              <w:t>(</w:t>
            </w:r>
            <w:r w:rsidR="004E2CE2">
              <w:rPr>
                <w:rFonts w:hint="eastAsia"/>
              </w:rPr>
              <w:t>學科領域任務探究情境</w:t>
            </w:r>
            <w:r w:rsidR="004E2CE2">
              <w:rPr>
                <w:rFonts w:hint="eastAsia"/>
              </w:rPr>
              <w:t>)</w:t>
            </w:r>
            <w:r w:rsidR="004E2CE2">
              <w:rPr>
                <w:rFonts w:hint="eastAsia"/>
              </w:rPr>
              <w:t>或日常生活情境</w:t>
            </w:r>
          </w:p>
        </w:tc>
        <w:tc>
          <w:tcPr>
            <w:tcW w:w="1593" w:type="dxa"/>
          </w:tcPr>
          <w:p w:rsidR="00581662" w:rsidRDefault="00581662" w:rsidP="00662924"/>
        </w:tc>
      </w:tr>
    </w:tbl>
    <w:p w:rsidR="00581662" w:rsidRDefault="00F126CA" w:rsidP="00581662">
      <w:r>
        <w:rPr>
          <w:rFonts w:hint="eastAsia"/>
        </w:rPr>
        <w:t xml:space="preserve">                                                                                                                   </w:t>
      </w:r>
      <w:r w:rsidR="00581662">
        <w:t>2021.09</w:t>
      </w:r>
      <w:r w:rsidR="00581662">
        <w:rPr>
          <w:rFonts w:hint="eastAsia"/>
        </w:rPr>
        <w:t>, 吳璧純</w:t>
      </w:r>
    </w:p>
    <w:p w:rsidR="00A50843" w:rsidRDefault="00A50843">
      <w:r>
        <w:br w:type="page"/>
      </w:r>
    </w:p>
    <w:p w:rsidR="00662924" w:rsidRDefault="007E449E" w:rsidP="00662924">
      <w:r>
        <w:rPr>
          <w:rFonts w:hint="eastAsia"/>
        </w:rPr>
        <w:t>五、課程評鑑工作</w:t>
      </w:r>
      <w:r w:rsidR="00E109F0">
        <w:rPr>
          <w:rFonts w:hint="eastAsia"/>
        </w:rPr>
        <w:t>規劃</w:t>
      </w:r>
    </w:p>
    <w:tbl>
      <w:tblPr>
        <w:tblStyle w:val="a3"/>
        <w:tblW w:w="10065" w:type="dxa"/>
        <w:tblInd w:w="-714" w:type="dxa"/>
        <w:tblLook w:val="04A0" w:firstRow="1" w:lastRow="0" w:firstColumn="1" w:lastColumn="0" w:noHBand="0" w:noVBand="1"/>
      </w:tblPr>
      <w:tblGrid>
        <w:gridCol w:w="1530"/>
        <w:gridCol w:w="7259"/>
        <w:gridCol w:w="1276"/>
      </w:tblGrid>
      <w:tr w:rsidR="00662924" w:rsidTr="00A50843">
        <w:tc>
          <w:tcPr>
            <w:tcW w:w="10065" w:type="dxa"/>
            <w:gridSpan w:val="3"/>
            <w:shd w:val="clear" w:color="auto" w:fill="D9D9D9" w:themeFill="background1" w:themeFillShade="D9"/>
          </w:tcPr>
          <w:p w:rsidR="00662924" w:rsidRPr="00543968" w:rsidRDefault="00662924" w:rsidP="007E449E">
            <w:pPr>
              <w:jc w:val="center"/>
              <w:rPr>
                <w:rFonts w:eastAsia="微軟正黑體"/>
                <w:b/>
              </w:rPr>
            </w:pPr>
            <w:r w:rsidRPr="00543968">
              <w:rPr>
                <w:rFonts w:eastAsia="微軟正黑體" w:hint="eastAsia"/>
                <w:b/>
              </w:rPr>
              <w:t>學校本位課程評鑑</w:t>
            </w:r>
            <w:r w:rsidR="00A50843" w:rsidRPr="00543968">
              <w:rPr>
                <w:rFonts w:eastAsia="微軟正黑體" w:hint="eastAsia"/>
                <w:b/>
              </w:rPr>
              <w:t>規劃</w:t>
            </w:r>
            <w:r w:rsidR="001F2FD0" w:rsidRPr="00543968">
              <w:rPr>
                <w:rFonts w:eastAsia="微軟正黑體" w:hint="eastAsia"/>
                <w:b/>
              </w:rPr>
              <w:t>思</w:t>
            </w:r>
            <w:r w:rsidR="00E109F0" w:rsidRPr="00543968">
              <w:rPr>
                <w:rFonts w:eastAsia="微軟正黑體" w:hint="eastAsia"/>
                <w:b/>
              </w:rPr>
              <w:t>考</w:t>
            </w:r>
            <w:r w:rsidR="007E449E" w:rsidRPr="00543968">
              <w:rPr>
                <w:rFonts w:eastAsia="微軟正黑體" w:hint="eastAsia"/>
                <w:b/>
              </w:rPr>
              <w:t>檢核</w:t>
            </w:r>
          </w:p>
        </w:tc>
      </w:tr>
      <w:tr w:rsidR="00662924" w:rsidTr="000F3A31">
        <w:tc>
          <w:tcPr>
            <w:tcW w:w="1530" w:type="dxa"/>
            <w:shd w:val="clear" w:color="auto" w:fill="D9D9D9" w:themeFill="background1" w:themeFillShade="D9"/>
          </w:tcPr>
          <w:p w:rsidR="00662924" w:rsidRPr="00543968" w:rsidRDefault="00662924" w:rsidP="00662924">
            <w:pPr>
              <w:rPr>
                <w:rFonts w:eastAsia="微軟正黑體"/>
                <w:b/>
              </w:rPr>
            </w:pPr>
            <w:r w:rsidRPr="00543968">
              <w:rPr>
                <w:rFonts w:eastAsia="微軟正黑體" w:hint="eastAsia"/>
                <w:b/>
              </w:rPr>
              <w:t xml:space="preserve"> 項目</w:t>
            </w:r>
          </w:p>
        </w:tc>
        <w:tc>
          <w:tcPr>
            <w:tcW w:w="7259" w:type="dxa"/>
            <w:shd w:val="clear" w:color="auto" w:fill="D9D9D9" w:themeFill="background1" w:themeFillShade="D9"/>
          </w:tcPr>
          <w:p w:rsidR="00662924" w:rsidRPr="00543968" w:rsidRDefault="00662924" w:rsidP="00662924">
            <w:pPr>
              <w:rPr>
                <w:rFonts w:eastAsia="微軟正黑體"/>
                <w:b/>
              </w:rPr>
            </w:pPr>
            <w:r w:rsidRPr="00543968">
              <w:rPr>
                <w:rFonts w:eastAsia="微軟正黑體" w:hint="eastAsia"/>
                <w:b/>
              </w:rPr>
              <w:t>內涵</w:t>
            </w:r>
          </w:p>
        </w:tc>
        <w:tc>
          <w:tcPr>
            <w:tcW w:w="1276" w:type="dxa"/>
            <w:shd w:val="clear" w:color="auto" w:fill="D9D9D9" w:themeFill="background1" w:themeFillShade="D9"/>
          </w:tcPr>
          <w:p w:rsidR="00662924" w:rsidRPr="00543968" w:rsidRDefault="001F2FD0" w:rsidP="00A50843">
            <w:pPr>
              <w:rPr>
                <w:rFonts w:eastAsia="微軟正黑體"/>
                <w:b/>
              </w:rPr>
            </w:pPr>
            <w:r w:rsidRPr="00543968">
              <w:rPr>
                <w:rFonts w:eastAsia="微軟正黑體" w:hint="eastAsia"/>
                <w:b/>
              </w:rPr>
              <w:t>做</w:t>
            </w:r>
            <w:r w:rsidR="00A50843" w:rsidRPr="00543968">
              <w:rPr>
                <w:rFonts w:eastAsia="微軟正黑體" w:hint="eastAsia"/>
                <w:b/>
              </w:rPr>
              <w:t>到</w:t>
            </w:r>
            <w:r w:rsidR="00662924" w:rsidRPr="00543968">
              <w:rPr>
                <w:rFonts w:eastAsia="微軟正黑體" w:hint="eastAsia"/>
                <w:b/>
              </w:rPr>
              <w:t>打V</w:t>
            </w:r>
          </w:p>
        </w:tc>
      </w:tr>
      <w:tr w:rsidR="00491DF1" w:rsidTr="000F3A31">
        <w:trPr>
          <w:trHeight w:val="326"/>
        </w:trPr>
        <w:tc>
          <w:tcPr>
            <w:tcW w:w="1530" w:type="dxa"/>
            <w:vMerge w:val="restart"/>
          </w:tcPr>
          <w:p w:rsidR="00491DF1" w:rsidRPr="00581662" w:rsidRDefault="00491DF1" w:rsidP="00A50843">
            <w:pPr>
              <w:rPr>
                <w:b/>
              </w:rPr>
            </w:pPr>
            <w:r>
              <w:rPr>
                <w:rFonts w:hint="eastAsia"/>
                <w:b/>
              </w:rPr>
              <w:t>意義驅動的課程評鑑</w:t>
            </w:r>
          </w:p>
        </w:tc>
        <w:tc>
          <w:tcPr>
            <w:tcW w:w="7259" w:type="dxa"/>
          </w:tcPr>
          <w:p w:rsidR="00265B58" w:rsidRPr="00113DFC" w:rsidRDefault="00491DF1" w:rsidP="004B1072">
            <w:pPr>
              <w:ind w:left="202" w:hanging="202"/>
              <w:rPr>
                <w:rFonts w:asciiTheme="minorEastAsia" w:hAnsiTheme="minorEastAsia"/>
              </w:rPr>
            </w:pPr>
            <w:r w:rsidRPr="00113DFC">
              <w:rPr>
                <w:rFonts w:asciiTheme="minorEastAsia" w:hAnsiTheme="minorEastAsia"/>
              </w:rPr>
              <w:t>1.</w:t>
            </w:r>
            <w:r w:rsidRPr="00113DFC">
              <w:rPr>
                <w:rFonts w:asciiTheme="minorEastAsia" w:hAnsiTheme="minorEastAsia" w:hint="eastAsia"/>
              </w:rPr>
              <w:t>有課程發展的事實，才會有課程評鑑的對象和內容</w:t>
            </w:r>
          </w:p>
        </w:tc>
        <w:tc>
          <w:tcPr>
            <w:tcW w:w="1276" w:type="dxa"/>
          </w:tcPr>
          <w:p w:rsidR="00491DF1" w:rsidRDefault="00491DF1" w:rsidP="00662924"/>
        </w:tc>
      </w:tr>
      <w:tr w:rsidR="00113DFC" w:rsidTr="005E4D03">
        <w:trPr>
          <w:trHeight w:val="453"/>
        </w:trPr>
        <w:tc>
          <w:tcPr>
            <w:tcW w:w="1530" w:type="dxa"/>
            <w:vMerge/>
          </w:tcPr>
          <w:p w:rsidR="00113DFC" w:rsidRDefault="00113DFC" w:rsidP="00662924">
            <w:pPr>
              <w:rPr>
                <w:b/>
              </w:rPr>
            </w:pPr>
          </w:p>
        </w:tc>
        <w:tc>
          <w:tcPr>
            <w:tcW w:w="7259" w:type="dxa"/>
          </w:tcPr>
          <w:p w:rsidR="00113DFC" w:rsidRPr="00113DFC" w:rsidRDefault="00113DFC" w:rsidP="004B1072">
            <w:pPr>
              <w:ind w:left="202" w:hanging="202"/>
              <w:rPr>
                <w:rFonts w:asciiTheme="minorEastAsia" w:hAnsiTheme="minorEastAsia"/>
              </w:rPr>
            </w:pPr>
            <w:r w:rsidRPr="00113DFC">
              <w:rPr>
                <w:rFonts w:asciiTheme="minorEastAsia" w:hAnsiTheme="minorEastAsia" w:hint="eastAsia"/>
              </w:rPr>
              <w:t>2.學校本位課程評鑑工作</w:t>
            </w:r>
            <w:r w:rsidR="007E449E">
              <w:rPr>
                <w:rFonts w:asciiTheme="minorEastAsia" w:hAnsiTheme="minorEastAsia" w:hint="eastAsia"/>
              </w:rPr>
              <w:t>，</w:t>
            </w:r>
            <w:r w:rsidRPr="00113DFC">
              <w:rPr>
                <w:rFonts w:asciiTheme="minorEastAsia" w:hAnsiTheme="minorEastAsia" w:hint="eastAsia"/>
              </w:rPr>
              <w:t>需</w:t>
            </w:r>
            <w:r w:rsidR="007E449E">
              <w:rPr>
                <w:rFonts w:asciiTheme="minorEastAsia" w:hAnsiTheme="minorEastAsia" w:hint="eastAsia"/>
              </w:rPr>
              <w:t>先</w:t>
            </w:r>
            <w:r w:rsidRPr="00113DFC">
              <w:rPr>
                <w:rFonts w:asciiTheme="minorEastAsia" w:hAnsiTheme="minorEastAsia" w:hint="eastAsia"/>
              </w:rPr>
              <w:t>掌握評鑑的目標</w:t>
            </w:r>
            <w:r w:rsidR="007E449E">
              <w:rPr>
                <w:rFonts w:asciiTheme="minorEastAsia" w:hAnsiTheme="minorEastAsia" w:hint="eastAsia"/>
              </w:rPr>
              <w:t>(的)</w:t>
            </w:r>
            <w:r w:rsidRPr="00113DFC">
              <w:rPr>
                <w:rFonts w:asciiTheme="minorEastAsia" w:hAnsiTheme="minorEastAsia" w:hint="eastAsia"/>
              </w:rPr>
              <w:t>與要回答的問題</w:t>
            </w:r>
          </w:p>
        </w:tc>
        <w:tc>
          <w:tcPr>
            <w:tcW w:w="1276" w:type="dxa"/>
            <w:vMerge w:val="restart"/>
          </w:tcPr>
          <w:p w:rsidR="00113DFC" w:rsidRDefault="00113DFC" w:rsidP="00662924"/>
        </w:tc>
      </w:tr>
      <w:tr w:rsidR="00113DFC" w:rsidTr="000F3A31">
        <w:trPr>
          <w:trHeight w:val="553"/>
        </w:trPr>
        <w:tc>
          <w:tcPr>
            <w:tcW w:w="1530" w:type="dxa"/>
            <w:vMerge/>
          </w:tcPr>
          <w:p w:rsidR="00113DFC" w:rsidRDefault="00113DFC" w:rsidP="00662924">
            <w:pPr>
              <w:rPr>
                <w:b/>
              </w:rPr>
            </w:pPr>
          </w:p>
        </w:tc>
        <w:tc>
          <w:tcPr>
            <w:tcW w:w="7259" w:type="dxa"/>
          </w:tcPr>
          <w:p w:rsidR="00113DFC" w:rsidRPr="00113DFC" w:rsidRDefault="00113DFC" w:rsidP="004B1072">
            <w:pPr>
              <w:ind w:left="202" w:hanging="202"/>
              <w:rPr>
                <w:rFonts w:asciiTheme="minorEastAsia" w:hAnsiTheme="minorEastAsia"/>
              </w:rPr>
            </w:pPr>
            <w:r w:rsidRPr="00113DFC">
              <w:rPr>
                <w:rFonts w:asciiTheme="minorEastAsia" w:hAnsiTheme="minorEastAsia" w:hint="eastAsia"/>
              </w:rPr>
              <w:t>3.課程評鑑是因著想回答的課程發展的問題而來，其評鑑對象的課程範圍可大可小</w:t>
            </w:r>
          </w:p>
        </w:tc>
        <w:tc>
          <w:tcPr>
            <w:tcW w:w="1276" w:type="dxa"/>
            <w:vMerge/>
          </w:tcPr>
          <w:p w:rsidR="00113DFC" w:rsidRDefault="00113DFC" w:rsidP="00662924"/>
        </w:tc>
      </w:tr>
      <w:tr w:rsidR="00491DF1" w:rsidTr="000F3A31">
        <w:trPr>
          <w:trHeight w:val="432"/>
        </w:trPr>
        <w:tc>
          <w:tcPr>
            <w:tcW w:w="1530" w:type="dxa"/>
            <w:vMerge/>
          </w:tcPr>
          <w:p w:rsidR="00491DF1" w:rsidRPr="00581662" w:rsidRDefault="00491DF1" w:rsidP="00662924">
            <w:pPr>
              <w:rPr>
                <w:b/>
              </w:rPr>
            </w:pPr>
          </w:p>
        </w:tc>
        <w:tc>
          <w:tcPr>
            <w:tcW w:w="7259" w:type="dxa"/>
          </w:tcPr>
          <w:p w:rsidR="00491DF1" w:rsidRPr="00113DFC" w:rsidRDefault="00113DFC" w:rsidP="004B1072">
            <w:pPr>
              <w:ind w:left="202" w:hanging="202"/>
              <w:rPr>
                <w:rFonts w:asciiTheme="minorEastAsia" w:hAnsiTheme="minorEastAsia"/>
              </w:rPr>
            </w:pPr>
            <w:r w:rsidRPr="00113DFC">
              <w:rPr>
                <w:rFonts w:asciiTheme="minorEastAsia" w:hAnsiTheme="minorEastAsia"/>
              </w:rPr>
              <w:t>4</w:t>
            </w:r>
            <w:r w:rsidR="00491DF1" w:rsidRPr="00113DFC">
              <w:rPr>
                <w:rFonts w:asciiTheme="minorEastAsia" w:hAnsiTheme="minorEastAsia"/>
              </w:rPr>
              <w:t>.</w:t>
            </w:r>
            <w:r w:rsidR="00491DF1" w:rsidRPr="00113DFC">
              <w:rPr>
                <w:rFonts w:asciiTheme="minorEastAsia" w:hAnsiTheme="minorEastAsia" w:hint="eastAsia"/>
              </w:rPr>
              <w:t>根據</w:t>
            </w:r>
            <w:r w:rsidR="001F2FD0" w:rsidRPr="00113DFC">
              <w:rPr>
                <w:rFonts w:asciiTheme="minorEastAsia" w:hAnsiTheme="minorEastAsia" w:hint="eastAsia"/>
              </w:rPr>
              <w:t>評鑑目標和評鑑要回答的問題</w:t>
            </w:r>
            <w:r w:rsidR="00491DF1" w:rsidRPr="00113DFC">
              <w:rPr>
                <w:rFonts w:asciiTheme="minorEastAsia" w:hAnsiTheme="minorEastAsia" w:hint="eastAsia"/>
              </w:rPr>
              <w:t>，訂定品質(評鑑)指標</w:t>
            </w:r>
          </w:p>
        </w:tc>
        <w:tc>
          <w:tcPr>
            <w:tcW w:w="1276" w:type="dxa"/>
          </w:tcPr>
          <w:p w:rsidR="00491DF1" w:rsidRDefault="00491DF1" w:rsidP="00662924"/>
        </w:tc>
      </w:tr>
      <w:tr w:rsidR="00491DF1" w:rsidTr="000F3A31">
        <w:trPr>
          <w:trHeight w:val="393"/>
        </w:trPr>
        <w:tc>
          <w:tcPr>
            <w:tcW w:w="1530" w:type="dxa"/>
            <w:vMerge/>
          </w:tcPr>
          <w:p w:rsidR="00491DF1" w:rsidRPr="00581662" w:rsidRDefault="00491DF1" w:rsidP="00662924">
            <w:pPr>
              <w:rPr>
                <w:b/>
              </w:rPr>
            </w:pPr>
          </w:p>
        </w:tc>
        <w:tc>
          <w:tcPr>
            <w:tcW w:w="7259" w:type="dxa"/>
          </w:tcPr>
          <w:p w:rsidR="00491DF1" w:rsidRPr="00113DFC" w:rsidRDefault="00113DFC" w:rsidP="004B1072">
            <w:pPr>
              <w:ind w:left="202" w:hanging="202"/>
              <w:rPr>
                <w:rFonts w:asciiTheme="minorEastAsia" w:hAnsiTheme="minorEastAsia"/>
              </w:rPr>
            </w:pPr>
            <w:r w:rsidRPr="00113DFC">
              <w:rPr>
                <w:rFonts w:asciiTheme="minorEastAsia" w:hAnsiTheme="minorEastAsia"/>
              </w:rPr>
              <w:t>5</w:t>
            </w:r>
            <w:r w:rsidR="00491DF1" w:rsidRPr="00113DFC">
              <w:rPr>
                <w:rFonts w:asciiTheme="minorEastAsia" w:hAnsiTheme="minorEastAsia"/>
              </w:rPr>
              <w:t>.</w:t>
            </w:r>
            <w:r w:rsidR="001F2FD0">
              <w:rPr>
                <w:rFonts w:asciiTheme="minorEastAsia" w:hAnsiTheme="minorEastAsia" w:hint="eastAsia"/>
              </w:rPr>
              <w:t>品質指標</w:t>
            </w:r>
            <w:r w:rsidR="00491DF1" w:rsidRPr="00113DFC">
              <w:rPr>
                <w:rFonts w:asciiTheme="minorEastAsia" w:hAnsiTheme="minorEastAsia" w:hint="eastAsia"/>
              </w:rPr>
              <w:t>必須是老師可理解的、有共識的</w:t>
            </w:r>
          </w:p>
        </w:tc>
        <w:tc>
          <w:tcPr>
            <w:tcW w:w="1276" w:type="dxa"/>
          </w:tcPr>
          <w:p w:rsidR="00491DF1" w:rsidRDefault="00491DF1" w:rsidP="00662924"/>
        </w:tc>
      </w:tr>
      <w:tr w:rsidR="00491DF1" w:rsidTr="000F3A31">
        <w:trPr>
          <w:trHeight w:val="399"/>
        </w:trPr>
        <w:tc>
          <w:tcPr>
            <w:tcW w:w="1530" w:type="dxa"/>
            <w:vMerge/>
          </w:tcPr>
          <w:p w:rsidR="00491DF1" w:rsidRPr="00581662" w:rsidRDefault="00491DF1" w:rsidP="00662924">
            <w:pPr>
              <w:rPr>
                <w:b/>
              </w:rPr>
            </w:pPr>
          </w:p>
        </w:tc>
        <w:tc>
          <w:tcPr>
            <w:tcW w:w="7259" w:type="dxa"/>
          </w:tcPr>
          <w:p w:rsidR="00491DF1" w:rsidRPr="00113DFC" w:rsidRDefault="00113DFC" w:rsidP="004B1072">
            <w:pPr>
              <w:ind w:left="202" w:hanging="202"/>
              <w:rPr>
                <w:rFonts w:asciiTheme="minorEastAsia" w:hAnsiTheme="minorEastAsia"/>
              </w:rPr>
            </w:pPr>
            <w:r w:rsidRPr="00113DFC">
              <w:rPr>
                <w:rFonts w:asciiTheme="minorEastAsia" w:hAnsiTheme="minorEastAsia"/>
              </w:rPr>
              <w:t>6</w:t>
            </w:r>
            <w:r w:rsidR="00491DF1" w:rsidRPr="00113DFC">
              <w:rPr>
                <w:rFonts w:asciiTheme="minorEastAsia" w:hAnsiTheme="minorEastAsia"/>
              </w:rPr>
              <w:t>.</w:t>
            </w:r>
            <w:r w:rsidR="001F2FD0">
              <w:rPr>
                <w:rFonts w:asciiTheme="minorEastAsia" w:hAnsiTheme="minorEastAsia" w:hint="eastAsia"/>
              </w:rPr>
              <w:t>根據要回答的評鑑問題，</w:t>
            </w:r>
            <w:r w:rsidR="00491DF1" w:rsidRPr="00113DFC">
              <w:rPr>
                <w:rFonts w:asciiTheme="minorEastAsia" w:hAnsiTheme="minorEastAsia" w:hint="eastAsia"/>
              </w:rPr>
              <w:t>蒐集可信與有效的</w:t>
            </w:r>
            <w:r w:rsidR="001F2FD0">
              <w:rPr>
                <w:rFonts w:asciiTheme="minorEastAsia" w:hAnsiTheme="minorEastAsia" w:hint="eastAsia"/>
              </w:rPr>
              <w:t>評鑑</w:t>
            </w:r>
            <w:r w:rsidR="00491DF1" w:rsidRPr="00113DFC">
              <w:rPr>
                <w:rFonts w:asciiTheme="minorEastAsia" w:hAnsiTheme="minorEastAsia" w:hint="eastAsia"/>
              </w:rPr>
              <w:t>資料</w:t>
            </w:r>
          </w:p>
        </w:tc>
        <w:tc>
          <w:tcPr>
            <w:tcW w:w="1276" w:type="dxa"/>
          </w:tcPr>
          <w:p w:rsidR="00491DF1" w:rsidRDefault="00491DF1" w:rsidP="00662924"/>
        </w:tc>
      </w:tr>
      <w:tr w:rsidR="00491DF1" w:rsidTr="000F3A31">
        <w:trPr>
          <w:trHeight w:val="957"/>
        </w:trPr>
        <w:tc>
          <w:tcPr>
            <w:tcW w:w="1530" w:type="dxa"/>
            <w:vMerge/>
          </w:tcPr>
          <w:p w:rsidR="00491DF1" w:rsidRPr="00581662" w:rsidRDefault="00491DF1" w:rsidP="00662924">
            <w:pPr>
              <w:rPr>
                <w:b/>
              </w:rPr>
            </w:pPr>
          </w:p>
        </w:tc>
        <w:tc>
          <w:tcPr>
            <w:tcW w:w="7259" w:type="dxa"/>
          </w:tcPr>
          <w:p w:rsidR="00491DF1" w:rsidRPr="00113DFC" w:rsidRDefault="00113DFC" w:rsidP="004B1072">
            <w:pPr>
              <w:ind w:left="202" w:hanging="202"/>
              <w:rPr>
                <w:rFonts w:asciiTheme="minorEastAsia" w:hAnsiTheme="minorEastAsia"/>
              </w:rPr>
            </w:pPr>
            <w:r w:rsidRPr="00113DFC">
              <w:rPr>
                <w:rFonts w:asciiTheme="minorEastAsia" w:hAnsiTheme="minorEastAsia"/>
              </w:rPr>
              <w:t>7</w:t>
            </w:r>
            <w:r w:rsidR="00491DF1" w:rsidRPr="00113DFC">
              <w:rPr>
                <w:rFonts w:asciiTheme="minorEastAsia" w:hAnsiTheme="minorEastAsia" w:hint="eastAsia"/>
              </w:rPr>
              <w:t>.</w:t>
            </w:r>
            <w:r w:rsidR="001F2FD0">
              <w:rPr>
                <w:rFonts w:asciiTheme="minorEastAsia" w:hAnsiTheme="minorEastAsia" w:hint="eastAsia"/>
              </w:rPr>
              <w:t>可信而有效的資料，通常來自</w:t>
            </w:r>
            <w:r w:rsidR="00491DF1" w:rsidRPr="00113DFC">
              <w:rPr>
                <w:rFonts w:asciiTheme="minorEastAsia" w:hAnsiTheme="minorEastAsia" w:hint="eastAsia"/>
              </w:rPr>
              <w:t>教師社群對課程設計、教學實施、與學生學</w:t>
            </w:r>
            <w:r w:rsidR="001F2FD0">
              <w:rPr>
                <w:rFonts w:asciiTheme="minorEastAsia" w:hAnsiTheme="minorEastAsia" w:hint="eastAsia"/>
              </w:rPr>
              <w:t>習與評量表現資料的詮釋對話、以指標進行資料的詮釋與反思，以及</w:t>
            </w:r>
            <w:r w:rsidR="00491DF1" w:rsidRPr="00113DFC">
              <w:rPr>
                <w:rFonts w:asciiTheme="minorEastAsia" w:hAnsiTheme="minorEastAsia" w:hint="eastAsia"/>
              </w:rPr>
              <w:t>其他利害關係人的課程意見</w:t>
            </w:r>
          </w:p>
        </w:tc>
        <w:tc>
          <w:tcPr>
            <w:tcW w:w="1276" w:type="dxa"/>
          </w:tcPr>
          <w:p w:rsidR="00491DF1" w:rsidRDefault="00491DF1" w:rsidP="00662924"/>
        </w:tc>
      </w:tr>
      <w:tr w:rsidR="000F3A31" w:rsidTr="000F3A31">
        <w:trPr>
          <w:trHeight w:val="608"/>
        </w:trPr>
        <w:tc>
          <w:tcPr>
            <w:tcW w:w="1530" w:type="dxa"/>
            <w:vMerge w:val="restart"/>
          </w:tcPr>
          <w:p w:rsidR="000F3A31" w:rsidRDefault="000F3A31" w:rsidP="00662924">
            <w:pPr>
              <w:rPr>
                <w:b/>
              </w:rPr>
            </w:pPr>
            <w:r>
              <w:rPr>
                <w:rFonts w:hint="eastAsia"/>
                <w:b/>
              </w:rPr>
              <w:t>評鑑與指標、反思的關係</w:t>
            </w:r>
          </w:p>
          <w:p w:rsidR="000F3A31" w:rsidRDefault="000F3A31" w:rsidP="00662924">
            <w:pPr>
              <w:rPr>
                <w:b/>
              </w:rPr>
            </w:pPr>
          </w:p>
          <w:p w:rsidR="000F3A31" w:rsidRDefault="000F3A31" w:rsidP="00662924">
            <w:pPr>
              <w:rPr>
                <w:b/>
              </w:rPr>
            </w:pPr>
          </w:p>
          <w:p w:rsidR="000F3A31" w:rsidRDefault="000F3A31" w:rsidP="00662924">
            <w:pPr>
              <w:rPr>
                <w:b/>
              </w:rPr>
            </w:pPr>
          </w:p>
          <w:p w:rsidR="000F3A31" w:rsidRPr="00581662" w:rsidRDefault="000F3A31" w:rsidP="00662924">
            <w:pPr>
              <w:rPr>
                <w:b/>
              </w:rPr>
            </w:pPr>
          </w:p>
        </w:tc>
        <w:tc>
          <w:tcPr>
            <w:tcW w:w="7259" w:type="dxa"/>
          </w:tcPr>
          <w:p w:rsidR="000F3A31" w:rsidRPr="00113DFC" w:rsidRDefault="000F3A31" w:rsidP="004B1072">
            <w:pPr>
              <w:ind w:left="202" w:hanging="202"/>
              <w:rPr>
                <w:rFonts w:asciiTheme="minorEastAsia" w:hAnsiTheme="minorEastAsia"/>
              </w:rPr>
            </w:pPr>
            <w:r>
              <w:rPr>
                <w:rFonts w:asciiTheme="minorEastAsia" w:hAnsiTheme="minorEastAsia" w:hint="eastAsia"/>
              </w:rPr>
              <w:t>1</w:t>
            </w:r>
            <w:r>
              <w:rPr>
                <w:rFonts w:asciiTheme="minorEastAsia" w:hAnsiTheme="minorEastAsia"/>
              </w:rPr>
              <w:t>.</w:t>
            </w:r>
            <w:r>
              <w:rPr>
                <w:rFonts w:asciiTheme="minorEastAsia" w:hAnsiTheme="minorEastAsia" w:hint="eastAsia"/>
              </w:rPr>
              <w:t>課程評鑑指標可根據評鑑要回答的問題，從教育部、教育局/處的文件、或其他學校發展的課程評鑑指標，進行擷取或修改</w:t>
            </w:r>
          </w:p>
        </w:tc>
        <w:tc>
          <w:tcPr>
            <w:tcW w:w="1276" w:type="dxa"/>
            <w:vMerge w:val="restart"/>
          </w:tcPr>
          <w:p w:rsidR="000F3A31" w:rsidRDefault="000F3A31" w:rsidP="00662924"/>
        </w:tc>
      </w:tr>
      <w:tr w:rsidR="000F3A31" w:rsidTr="000F3A31">
        <w:trPr>
          <w:trHeight w:val="629"/>
        </w:trPr>
        <w:tc>
          <w:tcPr>
            <w:tcW w:w="1530" w:type="dxa"/>
            <w:vMerge/>
          </w:tcPr>
          <w:p w:rsidR="000F3A31" w:rsidRDefault="000F3A31" w:rsidP="00662924">
            <w:pPr>
              <w:rPr>
                <w:b/>
              </w:rPr>
            </w:pPr>
          </w:p>
        </w:tc>
        <w:tc>
          <w:tcPr>
            <w:tcW w:w="7259" w:type="dxa"/>
          </w:tcPr>
          <w:p w:rsidR="000F3A31" w:rsidRDefault="000F3A31" w:rsidP="004B1072">
            <w:pPr>
              <w:ind w:left="202" w:hanging="202"/>
              <w:rPr>
                <w:rFonts w:asciiTheme="minorEastAsia" w:hAnsiTheme="minorEastAsia"/>
              </w:rPr>
            </w:pPr>
            <w:r>
              <w:rPr>
                <w:rFonts w:asciiTheme="minorEastAsia" w:hAnsiTheme="minorEastAsia" w:hint="eastAsia"/>
              </w:rPr>
              <w:t>2.</w:t>
            </w:r>
            <w:r w:rsidRPr="00113DFC">
              <w:rPr>
                <w:rFonts w:asciiTheme="minorEastAsia" w:hAnsiTheme="minorEastAsia" w:hint="eastAsia"/>
              </w:rPr>
              <w:t>課程發展與課程評鑑是連續的歷程，</w:t>
            </w:r>
            <w:r w:rsidRPr="00113DFC">
              <w:rPr>
                <w:rFonts w:asciiTheme="minorEastAsia" w:hAnsiTheme="minorEastAsia"/>
              </w:rPr>
              <w:t xml:space="preserve"> </w:t>
            </w:r>
            <w:r w:rsidRPr="00113DFC">
              <w:rPr>
                <w:rFonts w:asciiTheme="minorEastAsia" w:hAnsiTheme="minorEastAsia" w:hint="eastAsia"/>
              </w:rPr>
              <w:t>歷程中對課程對象的資料蒐集、檢討、反思、修正， 即是形成性評鑑的工作</w:t>
            </w:r>
          </w:p>
        </w:tc>
        <w:tc>
          <w:tcPr>
            <w:tcW w:w="1276" w:type="dxa"/>
            <w:vMerge/>
          </w:tcPr>
          <w:p w:rsidR="000F3A31" w:rsidRDefault="000F3A31" w:rsidP="00662924"/>
        </w:tc>
      </w:tr>
      <w:tr w:rsidR="00A50843" w:rsidTr="000F3A31">
        <w:trPr>
          <w:trHeight w:val="964"/>
        </w:trPr>
        <w:tc>
          <w:tcPr>
            <w:tcW w:w="1530" w:type="dxa"/>
            <w:vMerge/>
          </w:tcPr>
          <w:p w:rsidR="00A50843" w:rsidRDefault="00A50843" w:rsidP="00A50843"/>
        </w:tc>
        <w:tc>
          <w:tcPr>
            <w:tcW w:w="7259" w:type="dxa"/>
          </w:tcPr>
          <w:p w:rsidR="00A50843" w:rsidRPr="00113DFC" w:rsidRDefault="000F3A31" w:rsidP="004B1072">
            <w:pPr>
              <w:ind w:left="202" w:hanging="202"/>
              <w:rPr>
                <w:rFonts w:asciiTheme="minorEastAsia" w:hAnsiTheme="minorEastAsia"/>
              </w:rPr>
            </w:pPr>
            <w:r>
              <w:rPr>
                <w:rFonts w:asciiTheme="minorEastAsia" w:hAnsiTheme="minorEastAsia"/>
              </w:rPr>
              <w:t>3</w:t>
            </w:r>
            <w:r w:rsidR="00A50843" w:rsidRPr="00113DFC">
              <w:rPr>
                <w:rFonts w:asciiTheme="minorEastAsia" w:hAnsiTheme="minorEastAsia" w:hint="eastAsia"/>
              </w:rPr>
              <w:t>.</w:t>
            </w:r>
            <w:r w:rsidR="001F2FD0" w:rsidRPr="00113DFC">
              <w:rPr>
                <w:rFonts w:asciiTheme="minorEastAsia" w:hAnsiTheme="minorEastAsia" w:hint="eastAsia"/>
              </w:rPr>
              <w:t>形成性評鑑可以採用總結性評鑑的課程品質指標來進行</w:t>
            </w:r>
            <w:r w:rsidR="005E4D03">
              <w:rPr>
                <w:rFonts w:asciiTheme="minorEastAsia" w:hAnsiTheme="minorEastAsia" w:hint="eastAsia"/>
              </w:rPr>
              <w:t>課程的</w:t>
            </w:r>
            <w:r w:rsidR="001F2FD0" w:rsidRPr="00113DFC">
              <w:rPr>
                <w:rFonts w:asciiTheme="minorEastAsia" w:hAnsiTheme="minorEastAsia" w:hint="eastAsia"/>
              </w:rPr>
              <w:t>反思與檢討，也可以將課程品質指標拆解成更具體、更細節的內容，例如，總結性評鑑的指標可能是：課程設計符合素養導向教學特性 ；形成性評鑑的指標可能是：這門課的課程設計素養目標撰寫合宜、學習任務設計適切</w:t>
            </w:r>
            <w:r w:rsidR="001F2FD0" w:rsidRPr="00113DFC">
              <w:rPr>
                <w:rFonts w:asciiTheme="minorEastAsia" w:hAnsiTheme="minorEastAsia"/>
              </w:rPr>
              <w:t>……</w:t>
            </w:r>
          </w:p>
        </w:tc>
        <w:tc>
          <w:tcPr>
            <w:tcW w:w="1276" w:type="dxa"/>
            <w:shd w:val="clear" w:color="auto" w:fill="auto"/>
          </w:tcPr>
          <w:p w:rsidR="00A50843" w:rsidRDefault="00A50843" w:rsidP="00A50843"/>
        </w:tc>
      </w:tr>
      <w:tr w:rsidR="007A62A7" w:rsidTr="000F3A31">
        <w:trPr>
          <w:trHeight w:val="842"/>
        </w:trPr>
        <w:tc>
          <w:tcPr>
            <w:tcW w:w="1530" w:type="dxa"/>
            <w:vMerge/>
          </w:tcPr>
          <w:p w:rsidR="007A62A7" w:rsidRDefault="007A62A7" w:rsidP="00A50843"/>
        </w:tc>
        <w:tc>
          <w:tcPr>
            <w:tcW w:w="7259" w:type="dxa"/>
          </w:tcPr>
          <w:p w:rsidR="007A62A7" w:rsidRPr="00113DFC" w:rsidRDefault="000F3A31" w:rsidP="004B1072">
            <w:pPr>
              <w:ind w:left="202" w:hanging="202"/>
              <w:rPr>
                <w:rFonts w:asciiTheme="minorEastAsia" w:hAnsiTheme="minorEastAsia"/>
              </w:rPr>
            </w:pPr>
            <w:r>
              <w:rPr>
                <w:rFonts w:asciiTheme="minorEastAsia" w:hAnsiTheme="minorEastAsia"/>
              </w:rPr>
              <w:t>4</w:t>
            </w:r>
            <w:r w:rsidR="007A62A7" w:rsidRPr="00113DFC">
              <w:rPr>
                <w:rFonts w:asciiTheme="minorEastAsia" w:hAnsiTheme="minorEastAsia" w:hint="eastAsia"/>
              </w:rPr>
              <w:t>.總結性課程評鑑，通常於課程發展的工作告</w:t>
            </w:r>
            <w:r w:rsidR="007A62A7">
              <w:rPr>
                <w:rFonts w:asciiTheme="minorEastAsia" w:hAnsiTheme="minorEastAsia" w:hint="eastAsia"/>
              </w:rPr>
              <w:t>一段落時實施，例如</w:t>
            </w:r>
            <w:r w:rsidR="005E4D03">
              <w:rPr>
                <w:rFonts w:asciiTheme="minorEastAsia" w:hAnsiTheme="minorEastAsia" w:hint="eastAsia"/>
              </w:rPr>
              <w:t>，</w:t>
            </w:r>
            <w:r w:rsidR="007A62A7">
              <w:rPr>
                <w:rFonts w:asciiTheme="minorEastAsia" w:hAnsiTheme="minorEastAsia" w:hint="eastAsia"/>
              </w:rPr>
              <w:t>課程設計在上學期末，課程實施與效果在這學期末，檢核過課程品質後，反思並提出</w:t>
            </w:r>
            <w:r w:rsidR="007A62A7" w:rsidRPr="00113DFC">
              <w:rPr>
                <w:rFonts w:asciiTheme="minorEastAsia" w:hAnsiTheme="minorEastAsia" w:hint="eastAsia"/>
              </w:rPr>
              <w:t>新一週期同一課程</w:t>
            </w:r>
            <w:r w:rsidR="007A62A7">
              <w:rPr>
                <w:rFonts w:asciiTheme="minorEastAsia" w:hAnsiTheme="minorEastAsia" w:hint="eastAsia"/>
              </w:rPr>
              <w:t>的課程發展工作</w:t>
            </w:r>
            <w:r w:rsidR="00761AE2">
              <w:rPr>
                <w:rFonts w:asciiTheme="minorEastAsia" w:hAnsiTheme="minorEastAsia" w:hint="eastAsia"/>
              </w:rPr>
              <w:t>意見</w:t>
            </w:r>
          </w:p>
        </w:tc>
        <w:tc>
          <w:tcPr>
            <w:tcW w:w="1276" w:type="dxa"/>
          </w:tcPr>
          <w:p w:rsidR="007A62A7" w:rsidRDefault="007A62A7" w:rsidP="00A50843"/>
        </w:tc>
      </w:tr>
      <w:tr w:rsidR="000F3A31" w:rsidTr="000F3A31">
        <w:trPr>
          <w:trHeight w:val="883"/>
        </w:trPr>
        <w:tc>
          <w:tcPr>
            <w:tcW w:w="1530" w:type="dxa"/>
            <w:vMerge w:val="restart"/>
          </w:tcPr>
          <w:p w:rsidR="000F3A31" w:rsidRDefault="000F3A31" w:rsidP="00662924">
            <w:r>
              <w:rPr>
                <w:rFonts w:hint="eastAsia"/>
                <w:b/>
              </w:rPr>
              <w:t>評鑑工作是教師專業實踐的日常</w:t>
            </w:r>
          </w:p>
        </w:tc>
        <w:tc>
          <w:tcPr>
            <w:tcW w:w="7259" w:type="dxa"/>
          </w:tcPr>
          <w:p w:rsidR="000F3A31" w:rsidRPr="00113DFC" w:rsidRDefault="000F3A31" w:rsidP="004B1072">
            <w:pPr>
              <w:ind w:left="202" w:hanging="202"/>
              <w:rPr>
                <w:rFonts w:asciiTheme="minorEastAsia" w:hAnsiTheme="minorEastAsia"/>
              </w:rPr>
            </w:pPr>
            <w:r w:rsidRPr="00113DFC">
              <w:rPr>
                <w:rFonts w:asciiTheme="minorEastAsia" w:hAnsiTheme="minorEastAsia"/>
              </w:rPr>
              <w:t>1.</w:t>
            </w:r>
            <w:r w:rsidRPr="00113DFC">
              <w:rPr>
                <w:rFonts w:asciiTheme="minorEastAsia" w:hAnsiTheme="minorEastAsia" w:hint="eastAsia"/>
              </w:rPr>
              <w:t>課程評鑑的節奏與時程，配合教師教學與課程發展的工作，並與教師專業發展機制的運作密切配搭，如社群討論、教學研究會、學年會議、公開授課、教師增能研習等</w:t>
            </w:r>
          </w:p>
        </w:tc>
        <w:tc>
          <w:tcPr>
            <w:tcW w:w="1276" w:type="dxa"/>
          </w:tcPr>
          <w:p w:rsidR="000F3A31" w:rsidRDefault="000F3A31" w:rsidP="00662924"/>
        </w:tc>
      </w:tr>
      <w:tr w:rsidR="000F3A31" w:rsidTr="000F3A31">
        <w:trPr>
          <w:trHeight w:val="617"/>
        </w:trPr>
        <w:tc>
          <w:tcPr>
            <w:tcW w:w="1530" w:type="dxa"/>
            <w:vMerge/>
          </w:tcPr>
          <w:p w:rsidR="000F3A31" w:rsidRDefault="000F3A31" w:rsidP="00662924">
            <w:pPr>
              <w:rPr>
                <w:b/>
              </w:rPr>
            </w:pPr>
          </w:p>
        </w:tc>
        <w:tc>
          <w:tcPr>
            <w:tcW w:w="7259" w:type="dxa"/>
          </w:tcPr>
          <w:p w:rsidR="000F3A31" w:rsidRPr="00113DFC" w:rsidRDefault="000F3A31" w:rsidP="004B1072">
            <w:pPr>
              <w:ind w:left="202" w:hanging="202"/>
              <w:rPr>
                <w:rFonts w:asciiTheme="minorEastAsia" w:hAnsiTheme="minorEastAsia"/>
              </w:rPr>
            </w:pPr>
            <w:r w:rsidRPr="00113DFC">
              <w:rPr>
                <w:rFonts w:asciiTheme="minorEastAsia" w:hAnsiTheme="minorEastAsia" w:hint="eastAsia"/>
              </w:rPr>
              <w:t>2.形成性評鑑伴隨課程發展的步驟進行，課程發展的反思對話與立即修正的課程資料，透過例行課程與教學會議，隨時蒐集</w:t>
            </w:r>
          </w:p>
        </w:tc>
        <w:tc>
          <w:tcPr>
            <w:tcW w:w="1276" w:type="dxa"/>
          </w:tcPr>
          <w:p w:rsidR="000F3A31" w:rsidRDefault="000F3A31" w:rsidP="00662924"/>
        </w:tc>
      </w:tr>
      <w:tr w:rsidR="000F3A31" w:rsidTr="000F3A31">
        <w:trPr>
          <w:trHeight w:val="593"/>
        </w:trPr>
        <w:tc>
          <w:tcPr>
            <w:tcW w:w="1530" w:type="dxa"/>
            <w:vMerge/>
          </w:tcPr>
          <w:p w:rsidR="000F3A31" w:rsidRDefault="000F3A31" w:rsidP="00662924">
            <w:pPr>
              <w:rPr>
                <w:b/>
              </w:rPr>
            </w:pPr>
          </w:p>
        </w:tc>
        <w:tc>
          <w:tcPr>
            <w:tcW w:w="7259" w:type="dxa"/>
          </w:tcPr>
          <w:p w:rsidR="000F3A31" w:rsidRPr="00113DFC" w:rsidRDefault="000F3A31" w:rsidP="004B1072">
            <w:pPr>
              <w:ind w:left="202" w:hanging="202"/>
              <w:rPr>
                <w:rFonts w:asciiTheme="minorEastAsia" w:hAnsiTheme="minorEastAsia"/>
              </w:rPr>
            </w:pPr>
            <w:r w:rsidRPr="00113DFC">
              <w:rPr>
                <w:rFonts w:asciiTheme="minorEastAsia" w:hAnsiTheme="minorEastAsia"/>
              </w:rPr>
              <w:t>3.</w:t>
            </w:r>
            <w:r w:rsidRPr="00113DFC">
              <w:rPr>
                <w:rFonts w:asciiTheme="minorEastAsia" w:hAnsiTheme="minorEastAsia" w:hint="eastAsia"/>
              </w:rPr>
              <w:t>為了減輕評鑑資</w:t>
            </w:r>
            <w:r>
              <w:rPr>
                <w:rFonts w:asciiTheme="minorEastAsia" w:hAnsiTheme="minorEastAsia" w:hint="eastAsia"/>
              </w:rPr>
              <w:t>料整理的負擔，學校須</w:t>
            </w:r>
            <w:r w:rsidRPr="00113DFC">
              <w:rPr>
                <w:rFonts w:asciiTheme="minorEastAsia" w:hAnsiTheme="minorEastAsia" w:hint="eastAsia"/>
              </w:rPr>
              <w:t>建置網路平台供教師放置課程發展</w:t>
            </w:r>
            <w:r>
              <w:rPr>
                <w:rFonts w:asciiTheme="minorEastAsia" w:hAnsiTheme="minorEastAsia" w:hint="eastAsia"/>
              </w:rPr>
              <w:t>討論紀錄</w:t>
            </w:r>
            <w:r w:rsidRPr="00113DFC">
              <w:rPr>
                <w:rFonts w:asciiTheme="minorEastAsia" w:hAnsiTheme="minorEastAsia" w:hint="eastAsia"/>
              </w:rPr>
              <w:t>與</w:t>
            </w:r>
            <w:r>
              <w:rPr>
                <w:rFonts w:asciiTheme="minorEastAsia" w:hAnsiTheme="minorEastAsia" w:hint="eastAsia"/>
              </w:rPr>
              <w:t>課程</w:t>
            </w:r>
            <w:r w:rsidRPr="00113DFC">
              <w:rPr>
                <w:rFonts w:asciiTheme="minorEastAsia" w:hAnsiTheme="minorEastAsia" w:hint="eastAsia"/>
              </w:rPr>
              <w:t>修正資料</w:t>
            </w:r>
          </w:p>
        </w:tc>
        <w:tc>
          <w:tcPr>
            <w:tcW w:w="1276" w:type="dxa"/>
          </w:tcPr>
          <w:p w:rsidR="000F3A31" w:rsidRDefault="000F3A31" w:rsidP="00662924"/>
        </w:tc>
      </w:tr>
      <w:tr w:rsidR="000F3A31" w:rsidTr="000F3A31">
        <w:trPr>
          <w:trHeight w:val="666"/>
        </w:trPr>
        <w:tc>
          <w:tcPr>
            <w:tcW w:w="1530" w:type="dxa"/>
            <w:vMerge/>
          </w:tcPr>
          <w:p w:rsidR="000F3A31" w:rsidRDefault="000F3A31" w:rsidP="00662924">
            <w:pPr>
              <w:rPr>
                <w:b/>
              </w:rPr>
            </w:pPr>
          </w:p>
        </w:tc>
        <w:tc>
          <w:tcPr>
            <w:tcW w:w="7259" w:type="dxa"/>
          </w:tcPr>
          <w:p w:rsidR="000F3A31" w:rsidRPr="00113DFC" w:rsidRDefault="000F3A31" w:rsidP="004B1072">
            <w:pPr>
              <w:ind w:left="202" w:hanging="202"/>
              <w:rPr>
                <w:rFonts w:asciiTheme="minorEastAsia" w:hAnsiTheme="minorEastAsia"/>
              </w:rPr>
            </w:pPr>
            <w:r w:rsidRPr="00113DFC">
              <w:rPr>
                <w:rFonts w:asciiTheme="minorEastAsia" w:hAnsiTheme="minorEastAsia"/>
              </w:rPr>
              <w:t>4.</w:t>
            </w:r>
            <w:r w:rsidRPr="00113DFC">
              <w:rPr>
                <w:rFonts w:asciiTheme="minorEastAsia" w:hAnsiTheme="minorEastAsia" w:hint="eastAsia"/>
              </w:rPr>
              <w:t>評鑑資料的蒐集，對準評鑑目的與要回答的問題，提供最基本的證據資料即可</w:t>
            </w:r>
          </w:p>
        </w:tc>
        <w:tc>
          <w:tcPr>
            <w:tcW w:w="1276" w:type="dxa"/>
          </w:tcPr>
          <w:p w:rsidR="000F3A31" w:rsidRDefault="000F3A31" w:rsidP="00662924"/>
        </w:tc>
      </w:tr>
      <w:tr w:rsidR="005E4D03" w:rsidTr="005E4D03">
        <w:trPr>
          <w:trHeight w:val="1049"/>
        </w:trPr>
        <w:tc>
          <w:tcPr>
            <w:tcW w:w="1530" w:type="dxa"/>
            <w:vMerge/>
          </w:tcPr>
          <w:p w:rsidR="005E4D03" w:rsidRDefault="005E4D03" w:rsidP="00662924">
            <w:pPr>
              <w:rPr>
                <w:b/>
              </w:rPr>
            </w:pPr>
          </w:p>
        </w:tc>
        <w:tc>
          <w:tcPr>
            <w:tcW w:w="7259" w:type="dxa"/>
          </w:tcPr>
          <w:p w:rsidR="005E4D03" w:rsidRDefault="005E4D03" w:rsidP="004B1072">
            <w:pPr>
              <w:ind w:left="202" w:hanging="202"/>
            </w:pPr>
            <w:r w:rsidRPr="00113DFC">
              <w:rPr>
                <w:rFonts w:asciiTheme="minorEastAsia" w:hAnsiTheme="minorEastAsia" w:hint="eastAsia"/>
              </w:rPr>
              <w:t>5.整合與特定課程相關的專案計畫，進行課程評鑑，或以某一專案的執行成效，作為課程評鑑的目的，進行專案課程評鑑，以帶動</w:t>
            </w:r>
            <w:r w:rsidR="004B1072">
              <w:rPr>
                <w:rFonts w:asciiTheme="minorEastAsia" w:hAnsiTheme="minorEastAsia" w:hint="eastAsia"/>
              </w:rPr>
              <w:t>相</w:t>
            </w:r>
            <w:r w:rsidRPr="00113DFC">
              <w:rPr>
                <w:rFonts w:asciiTheme="minorEastAsia" w:hAnsiTheme="minorEastAsia" w:hint="eastAsia"/>
              </w:rPr>
              <w:t>關課程的發展。</w:t>
            </w:r>
          </w:p>
        </w:tc>
        <w:tc>
          <w:tcPr>
            <w:tcW w:w="1276" w:type="dxa"/>
          </w:tcPr>
          <w:p w:rsidR="005E4D03" w:rsidRDefault="005E4D03"/>
          <w:p w:rsidR="005E4D03" w:rsidRDefault="005E4D03" w:rsidP="00662924"/>
        </w:tc>
      </w:tr>
      <w:tr w:rsidR="000F3A31" w:rsidTr="000F3A31">
        <w:trPr>
          <w:trHeight w:val="654"/>
        </w:trPr>
        <w:tc>
          <w:tcPr>
            <w:tcW w:w="1530" w:type="dxa"/>
            <w:vMerge w:val="restart"/>
          </w:tcPr>
          <w:p w:rsidR="000F3A31" w:rsidRDefault="000F3A31" w:rsidP="00662924">
            <w:pPr>
              <w:rPr>
                <w:b/>
              </w:rPr>
            </w:pPr>
            <w:r>
              <w:rPr>
                <w:rFonts w:hint="eastAsia"/>
                <w:b/>
              </w:rPr>
              <w:t>學校總體課程評鑑</w:t>
            </w:r>
          </w:p>
        </w:tc>
        <w:tc>
          <w:tcPr>
            <w:tcW w:w="7259" w:type="dxa"/>
          </w:tcPr>
          <w:p w:rsidR="000F3A31" w:rsidRPr="00B14226" w:rsidRDefault="000F3A31" w:rsidP="004B1072">
            <w:pPr>
              <w:ind w:left="202" w:hanging="202"/>
              <w:rPr>
                <w:rFonts w:asciiTheme="minorEastAsia" w:hAnsiTheme="minorEastAsia"/>
              </w:rPr>
            </w:pPr>
            <w:r>
              <w:rPr>
                <w:rFonts w:asciiTheme="minorEastAsia" w:hAnsiTheme="minorEastAsia"/>
              </w:rPr>
              <w:t>1.</w:t>
            </w:r>
            <w:r>
              <w:rPr>
                <w:rFonts w:asciiTheme="minorEastAsia" w:hAnsiTheme="minorEastAsia" w:hint="eastAsia"/>
              </w:rPr>
              <w:t>學校總體課程評鑑植基於全校教師的所有課程發展工作上，</w:t>
            </w:r>
            <w:r w:rsidRPr="00DE5C98">
              <w:rPr>
                <w:rFonts w:asciiTheme="minorEastAsia" w:hAnsiTheme="minorEastAsia" w:hint="eastAsia"/>
              </w:rPr>
              <w:t>包括部定課程</w:t>
            </w:r>
            <w:r w:rsidR="006C7362">
              <w:rPr>
                <w:rFonts w:asciiTheme="minorEastAsia" w:hAnsiTheme="minorEastAsia" w:hint="eastAsia"/>
              </w:rPr>
              <w:t>、</w:t>
            </w:r>
            <w:r>
              <w:rPr>
                <w:rFonts w:asciiTheme="minorEastAsia" w:hAnsiTheme="minorEastAsia" w:hint="eastAsia"/>
              </w:rPr>
              <w:t>校訂課程，或其他非正式課程</w:t>
            </w:r>
          </w:p>
        </w:tc>
        <w:tc>
          <w:tcPr>
            <w:tcW w:w="1276" w:type="dxa"/>
          </w:tcPr>
          <w:p w:rsidR="000F3A31" w:rsidRDefault="000F3A31" w:rsidP="00662924"/>
        </w:tc>
      </w:tr>
      <w:tr w:rsidR="000F3A31" w:rsidTr="000F3A31">
        <w:trPr>
          <w:trHeight w:val="323"/>
        </w:trPr>
        <w:tc>
          <w:tcPr>
            <w:tcW w:w="1530" w:type="dxa"/>
            <w:vMerge/>
          </w:tcPr>
          <w:p w:rsidR="000F3A31" w:rsidRDefault="000F3A31" w:rsidP="00662924">
            <w:pPr>
              <w:rPr>
                <w:b/>
              </w:rPr>
            </w:pPr>
          </w:p>
        </w:tc>
        <w:tc>
          <w:tcPr>
            <w:tcW w:w="7259" w:type="dxa"/>
          </w:tcPr>
          <w:p w:rsidR="000F3A31" w:rsidRDefault="00E109F0" w:rsidP="004B1072">
            <w:pPr>
              <w:ind w:left="202" w:hanging="202"/>
              <w:rPr>
                <w:rFonts w:asciiTheme="minorEastAsia" w:hAnsiTheme="minorEastAsia"/>
              </w:rPr>
            </w:pPr>
            <w:r>
              <w:rPr>
                <w:rFonts w:asciiTheme="minorEastAsia" w:hAnsiTheme="minorEastAsia" w:hint="eastAsia"/>
              </w:rPr>
              <w:t>2.學校總體課程評鑑</w:t>
            </w:r>
            <w:r w:rsidRPr="00B14226">
              <w:rPr>
                <w:rFonts w:asciiTheme="minorEastAsia" w:hAnsiTheme="minorEastAsia" w:hint="eastAsia"/>
                <w:b/>
                <w:color w:val="FF0000"/>
                <w:sz w:val="28"/>
                <w:szCs w:val="28"/>
              </w:rPr>
              <w:t>≠</w:t>
            </w:r>
            <w:r w:rsidRPr="00E109F0">
              <w:rPr>
                <w:rFonts w:asciiTheme="minorEastAsia" w:hAnsiTheme="minorEastAsia" w:hint="eastAsia"/>
                <w:color w:val="0D0D0D" w:themeColor="text1" w:themeTint="F2"/>
                <w:szCs w:val="24"/>
              </w:rPr>
              <w:t>將所</w:t>
            </w:r>
            <w:r>
              <w:rPr>
                <w:rFonts w:asciiTheme="minorEastAsia" w:hAnsiTheme="minorEastAsia" w:hint="eastAsia"/>
              </w:rPr>
              <w:t>有各門課程的評鑑資料與結果加總起來</w:t>
            </w:r>
          </w:p>
        </w:tc>
        <w:tc>
          <w:tcPr>
            <w:tcW w:w="1276" w:type="dxa"/>
          </w:tcPr>
          <w:p w:rsidR="000F3A31" w:rsidRDefault="000F3A31" w:rsidP="00662924"/>
        </w:tc>
      </w:tr>
      <w:tr w:rsidR="000F3A31" w:rsidTr="000F3A31">
        <w:trPr>
          <w:trHeight w:val="557"/>
        </w:trPr>
        <w:tc>
          <w:tcPr>
            <w:tcW w:w="1530" w:type="dxa"/>
            <w:vMerge/>
          </w:tcPr>
          <w:p w:rsidR="000F3A31" w:rsidRDefault="000F3A31" w:rsidP="00662924">
            <w:pPr>
              <w:rPr>
                <w:b/>
              </w:rPr>
            </w:pPr>
          </w:p>
        </w:tc>
        <w:tc>
          <w:tcPr>
            <w:tcW w:w="7259" w:type="dxa"/>
          </w:tcPr>
          <w:p w:rsidR="000F3A31" w:rsidRDefault="000F3A31" w:rsidP="004B1072">
            <w:pPr>
              <w:ind w:left="202" w:hanging="202"/>
              <w:rPr>
                <w:rFonts w:asciiTheme="minorEastAsia" w:hAnsiTheme="minorEastAsia"/>
              </w:rPr>
            </w:pPr>
            <w:r>
              <w:rPr>
                <w:rFonts w:asciiTheme="minorEastAsia" w:hAnsiTheme="minorEastAsia"/>
              </w:rPr>
              <w:t>3.</w:t>
            </w:r>
            <w:r>
              <w:rPr>
                <w:rFonts w:asciiTheme="minorEastAsia" w:hAnsiTheme="minorEastAsia" w:hint="eastAsia"/>
              </w:rPr>
              <w:t>學校總體課程評鑑依據課程評鑑的目的與評鑑問題</w:t>
            </w:r>
            <w:r w:rsidR="00DE5C98">
              <w:rPr>
                <w:rFonts w:asciiTheme="minorEastAsia" w:hAnsiTheme="minorEastAsia" w:hint="eastAsia"/>
              </w:rPr>
              <w:t>，</w:t>
            </w:r>
            <w:r>
              <w:rPr>
                <w:rFonts w:asciiTheme="minorEastAsia" w:hAnsiTheme="minorEastAsia" w:hint="eastAsia"/>
              </w:rPr>
              <w:t>進行時程規劃與資料蒐集</w:t>
            </w:r>
          </w:p>
        </w:tc>
        <w:tc>
          <w:tcPr>
            <w:tcW w:w="1276" w:type="dxa"/>
          </w:tcPr>
          <w:p w:rsidR="000F3A31" w:rsidRDefault="000F3A31" w:rsidP="00662924"/>
        </w:tc>
      </w:tr>
      <w:tr w:rsidR="000F3A31" w:rsidTr="004B1072">
        <w:trPr>
          <w:trHeight w:val="1106"/>
        </w:trPr>
        <w:tc>
          <w:tcPr>
            <w:tcW w:w="1530" w:type="dxa"/>
            <w:vMerge/>
          </w:tcPr>
          <w:p w:rsidR="000F3A31" w:rsidRDefault="000F3A31" w:rsidP="00662924">
            <w:pPr>
              <w:rPr>
                <w:b/>
              </w:rPr>
            </w:pPr>
          </w:p>
        </w:tc>
        <w:tc>
          <w:tcPr>
            <w:tcW w:w="7259" w:type="dxa"/>
          </w:tcPr>
          <w:p w:rsidR="000F3A31" w:rsidRDefault="000F3A31" w:rsidP="004B1072">
            <w:pPr>
              <w:ind w:left="202" w:hanging="202"/>
              <w:rPr>
                <w:rFonts w:asciiTheme="minorEastAsia" w:hAnsiTheme="minorEastAsia"/>
              </w:rPr>
            </w:pPr>
            <w:r>
              <w:rPr>
                <w:rFonts w:asciiTheme="minorEastAsia" w:hAnsiTheme="minorEastAsia" w:hint="eastAsia"/>
              </w:rPr>
              <w:t>4.十二年國教學校總體課程評鑑運作方式，最容易的方式是選定十二年國教核心素養導向課程精神與特性的達成，作為評鑑的目標，結合學校日常的教務工作，檢核學校整體的課程</w:t>
            </w:r>
            <w:r w:rsidR="00E109F0">
              <w:rPr>
                <w:rFonts w:asciiTheme="minorEastAsia" w:hAnsiTheme="minorEastAsia" w:hint="eastAsia"/>
              </w:rPr>
              <w:t>發展</w:t>
            </w:r>
            <w:r w:rsidR="004B1072">
              <w:rPr>
                <w:rFonts w:asciiTheme="minorEastAsia" w:hAnsiTheme="minorEastAsia" w:hint="eastAsia"/>
              </w:rPr>
              <w:t>成果</w:t>
            </w:r>
          </w:p>
        </w:tc>
        <w:tc>
          <w:tcPr>
            <w:tcW w:w="1276" w:type="dxa"/>
          </w:tcPr>
          <w:p w:rsidR="000F3A31" w:rsidRDefault="000F3A31" w:rsidP="00662924"/>
        </w:tc>
      </w:tr>
    </w:tbl>
    <w:p w:rsidR="00662924" w:rsidRDefault="00662924" w:rsidP="00662924">
      <w:r>
        <w:rPr>
          <w:rFonts w:hint="eastAsia"/>
        </w:rPr>
        <w:t xml:space="preserve">                                                                                                                   </w:t>
      </w:r>
      <w:r>
        <w:t>2021.09</w:t>
      </w:r>
      <w:r>
        <w:rPr>
          <w:rFonts w:hint="eastAsia"/>
        </w:rPr>
        <w:t>, 吳璧純</w:t>
      </w:r>
    </w:p>
    <w:p w:rsidR="00662924" w:rsidRDefault="00662924" w:rsidP="00662924"/>
    <w:p w:rsidR="00581662" w:rsidRDefault="00581662" w:rsidP="00662924"/>
    <w:sectPr w:rsidR="0058166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3BE" w:rsidRDefault="00A713BE" w:rsidP="00A50843">
      <w:pPr>
        <w:spacing w:line="240" w:lineRule="auto"/>
      </w:pPr>
      <w:r>
        <w:separator/>
      </w:r>
    </w:p>
  </w:endnote>
  <w:endnote w:type="continuationSeparator" w:id="0">
    <w:p w:rsidR="00A713BE" w:rsidRDefault="00A713BE" w:rsidP="00A50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3BE" w:rsidRDefault="00A713BE" w:rsidP="00A50843">
      <w:pPr>
        <w:spacing w:line="240" w:lineRule="auto"/>
      </w:pPr>
      <w:r>
        <w:separator/>
      </w:r>
    </w:p>
  </w:footnote>
  <w:footnote w:type="continuationSeparator" w:id="0">
    <w:p w:rsidR="00A713BE" w:rsidRDefault="00A713BE" w:rsidP="00A5084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A9"/>
    <w:rsid w:val="000006E7"/>
    <w:rsid w:val="0000735C"/>
    <w:rsid w:val="00034718"/>
    <w:rsid w:val="000353B0"/>
    <w:rsid w:val="000450C2"/>
    <w:rsid w:val="00052280"/>
    <w:rsid w:val="000568F9"/>
    <w:rsid w:val="00074E4E"/>
    <w:rsid w:val="00076770"/>
    <w:rsid w:val="00090847"/>
    <w:rsid w:val="000A0434"/>
    <w:rsid w:val="000A0776"/>
    <w:rsid w:val="000A4091"/>
    <w:rsid w:val="000B5141"/>
    <w:rsid w:val="000C0543"/>
    <w:rsid w:val="000C28C0"/>
    <w:rsid w:val="000C6596"/>
    <w:rsid w:val="000C67E2"/>
    <w:rsid w:val="000C6D50"/>
    <w:rsid w:val="000D35B3"/>
    <w:rsid w:val="000E08A5"/>
    <w:rsid w:val="000E23C1"/>
    <w:rsid w:val="000E4776"/>
    <w:rsid w:val="000E75E7"/>
    <w:rsid w:val="000F178B"/>
    <w:rsid w:val="000F3A31"/>
    <w:rsid w:val="000F413B"/>
    <w:rsid w:val="0010294C"/>
    <w:rsid w:val="00103A48"/>
    <w:rsid w:val="00103D09"/>
    <w:rsid w:val="001122EB"/>
    <w:rsid w:val="00113B06"/>
    <w:rsid w:val="00113DFC"/>
    <w:rsid w:val="001334C9"/>
    <w:rsid w:val="00135E50"/>
    <w:rsid w:val="001407B0"/>
    <w:rsid w:val="00144E2F"/>
    <w:rsid w:val="00145C6A"/>
    <w:rsid w:val="0014610C"/>
    <w:rsid w:val="0016268C"/>
    <w:rsid w:val="00162E48"/>
    <w:rsid w:val="00170710"/>
    <w:rsid w:val="00171C62"/>
    <w:rsid w:val="0017219D"/>
    <w:rsid w:val="00180847"/>
    <w:rsid w:val="001812F0"/>
    <w:rsid w:val="001830A9"/>
    <w:rsid w:val="001948D6"/>
    <w:rsid w:val="001972AD"/>
    <w:rsid w:val="001A25C1"/>
    <w:rsid w:val="001A41EE"/>
    <w:rsid w:val="001A6CBB"/>
    <w:rsid w:val="001B2514"/>
    <w:rsid w:val="001C3685"/>
    <w:rsid w:val="001D1948"/>
    <w:rsid w:val="001D4A78"/>
    <w:rsid w:val="001E0381"/>
    <w:rsid w:val="001F2FD0"/>
    <w:rsid w:val="001F3E83"/>
    <w:rsid w:val="001F559E"/>
    <w:rsid w:val="001F7ABF"/>
    <w:rsid w:val="002025DA"/>
    <w:rsid w:val="00205D39"/>
    <w:rsid w:val="00220FCF"/>
    <w:rsid w:val="00223E65"/>
    <w:rsid w:val="002247DD"/>
    <w:rsid w:val="0023462C"/>
    <w:rsid w:val="00234A39"/>
    <w:rsid w:val="00235E01"/>
    <w:rsid w:val="002407DE"/>
    <w:rsid w:val="00242CE0"/>
    <w:rsid w:val="00251964"/>
    <w:rsid w:val="00251D11"/>
    <w:rsid w:val="00251F53"/>
    <w:rsid w:val="002528C3"/>
    <w:rsid w:val="00253BCC"/>
    <w:rsid w:val="00256266"/>
    <w:rsid w:val="0025691E"/>
    <w:rsid w:val="0026268F"/>
    <w:rsid w:val="00265B58"/>
    <w:rsid w:val="00267C61"/>
    <w:rsid w:val="0027103E"/>
    <w:rsid w:val="002712C4"/>
    <w:rsid w:val="0027380C"/>
    <w:rsid w:val="002824ED"/>
    <w:rsid w:val="00283C42"/>
    <w:rsid w:val="00294409"/>
    <w:rsid w:val="002A246D"/>
    <w:rsid w:val="002A2929"/>
    <w:rsid w:val="002A59FC"/>
    <w:rsid w:val="002D1ACE"/>
    <w:rsid w:val="002D27B0"/>
    <w:rsid w:val="002D66D9"/>
    <w:rsid w:val="002E27F6"/>
    <w:rsid w:val="002F0C0B"/>
    <w:rsid w:val="002F6600"/>
    <w:rsid w:val="002F6CE7"/>
    <w:rsid w:val="002F7A0A"/>
    <w:rsid w:val="00304B56"/>
    <w:rsid w:val="00306B85"/>
    <w:rsid w:val="00311535"/>
    <w:rsid w:val="00321268"/>
    <w:rsid w:val="00321E78"/>
    <w:rsid w:val="00327A39"/>
    <w:rsid w:val="00333B01"/>
    <w:rsid w:val="00334999"/>
    <w:rsid w:val="003367DD"/>
    <w:rsid w:val="0033698E"/>
    <w:rsid w:val="00343FA7"/>
    <w:rsid w:val="003543AD"/>
    <w:rsid w:val="003574C0"/>
    <w:rsid w:val="00361A27"/>
    <w:rsid w:val="00363007"/>
    <w:rsid w:val="003671D0"/>
    <w:rsid w:val="003771D9"/>
    <w:rsid w:val="00377D88"/>
    <w:rsid w:val="00387781"/>
    <w:rsid w:val="00391CC9"/>
    <w:rsid w:val="003B3CE5"/>
    <w:rsid w:val="003C041F"/>
    <w:rsid w:val="003C2FCB"/>
    <w:rsid w:val="003C30BE"/>
    <w:rsid w:val="003C379C"/>
    <w:rsid w:val="003D0246"/>
    <w:rsid w:val="003D2F96"/>
    <w:rsid w:val="003E0F2A"/>
    <w:rsid w:val="003E5B93"/>
    <w:rsid w:val="003F171F"/>
    <w:rsid w:val="003F4D3F"/>
    <w:rsid w:val="003F5247"/>
    <w:rsid w:val="004013BA"/>
    <w:rsid w:val="004017C6"/>
    <w:rsid w:val="0041188B"/>
    <w:rsid w:val="00417EB8"/>
    <w:rsid w:val="00421257"/>
    <w:rsid w:val="00422604"/>
    <w:rsid w:val="0042284F"/>
    <w:rsid w:val="00431782"/>
    <w:rsid w:val="0043236C"/>
    <w:rsid w:val="00436351"/>
    <w:rsid w:val="004367D2"/>
    <w:rsid w:val="004521C3"/>
    <w:rsid w:val="0045568D"/>
    <w:rsid w:val="00455BB4"/>
    <w:rsid w:val="00462CA2"/>
    <w:rsid w:val="00470787"/>
    <w:rsid w:val="00472111"/>
    <w:rsid w:val="004747C1"/>
    <w:rsid w:val="00491DF1"/>
    <w:rsid w:val="00493880"/>
    <w:rsid w:val="0049649D"/>
    <w:rsid w:val="004A505E"/>
    <w:rsid w:val="004A7DA5"/>
    <w:rsid w:val="004B1072"/>
    <w:rsid w:val="004B4496"/>
    <w:rsid w:val="004B4B6A"/>
    <w:rsid w:val="004C5985"/>
    <w:rsid w:val="004C7030"/>
    <w:rsid w:val="004E07EB"/>
    <w:rsid w:val="004E2CE2"/>
    <w:rsid w:val="004F091D"/>
    <w:rsid w:val="00512199"/>
    <w:rsid w:val="0051242D"/>
    <w:rsid w:val="00515479"/>
    <w:rsid w:val="005314E3"/>
    <w:rsid w:val="0054292B"/>
    <w:rsid w:val="00543968"/>
    <w:rsid w:val="00544338"/>
    <w:rsid w:val="00552215"/>
    <w:rsid w:val="00566CB5"/>
    <w:rsid w:val="00573EB8"/>
    <w:rsid w:val="00581662"/>
    <w:rsid w:val="00582298"/>
    <w:rsid w:val="0058440D"/>
    <w:rsid w:val="005970D8"/>
    <w:rsid w:val="005A50E3"/>
    <w:rsid w:val="005A5F7F"/>
    <w:rsid w:val="005B0C83"/>
    <w:rsid w:val="005C610C"/>
    <w:rsid w:val="005C6451"/>
    <w:rsid w:val="005C6B56"/>
    <w:rsid w:val="005C6F61"/>
    <w:rsid w:val="005C706D"/>
    <w:rsid w:val="005D0F3E"/>
    <w:rsid w:val="005D1C71"/>
    <w:rsid w:val="005D1D25"/>
    <w:rsid w:val="005D24B7"/>
    <w:rsid w:val="005E4D03"/>
    <w:rsid w:val="005F0FA4"/>
    <w:rsid w:val="005F343A"/>
    <w:rsid w:val="005F3F5D"/>
    <w:rsid w:val="005F63C6"/>
    <w:rsid w:val="00602AFB"/>
    <w:rsid w:val="00603BE6"/>
    <w:rsid w:val="00603C8E"/>
    <w:rsid w:val="00624BFB"/>
    <w:rsid w:val="00626DE5"/>
    <w:rsid w:val="0063102E"/>
    <w:rsid w:val="006371D1"/>
    <w:rsid w:val="00643002"/>
    <w:rsid w:val="00643CD5"/>
    <w:rsid w:val="0064676C"/>
    <w:rsid w:val="006554B3"/>
    <w:rsid w:val="00662924"/>
    <w:rsid w:val="00664677"/>
    <w:rsid w:val="00672BD7"/>
    <w:rsid w:val="00683618"/>
    <w:rsid w:val="00687EBD"/>
    <w:rsid w:val="006914A8"/>
    <w:rsid w:val="0069307D"/>
    <w:rsid w:val="006944BA"/>
    <w:rsid w:val="00696FA0"/>
    <w:rsid w:val="006A14C1"/>
    <w:rsid w:val="006A3023"/>
    <w:rsid w:val="006A4AB6"/>
    <w:rsid w:val="006B22BB"/>
    <w:rsid w:val="006B4938"/>
    <w:rsid w:val="006C5A09"/>
    <w:rsid w:val="006C7362"/>
    <w:rsid w:val="006D00C0"/>
    <w:rsid w:val="006D75A6"/>
    <w:rsid w:val="006E5423"/>
    <w:rsid w:val="006E6753"/>
    <w:rsid w:val="006F5E0C"/>
    <w:rsid w:val="006F73EF"/>
    <w:rsid w:val="007041CD"/>
    <w:rsid w:val="007044C2"/>
    <w:rsid w:val="00705C0F"/>
    <w:rsid w:val="007071ED"/>
    <w:rsid w:val="00712168"/>
    <w:rsid w:val="00717FA9"/>
    <w:rsid w:val="00723C5D"/>
    <w:rsid w:val="00724F94"/>
    <w:rsid w:val="0073238C"/>
    <w:rsid w:val="00735485"/>
    <w:rsid w:val="00740DFA"/>
    <w:rsid w:val="00745DB0"/>
    <w:rsid w:val="007575BD"/>
    <w:rsid w:val="00761AE2"/>
    <w:rsid w:val="00772037"/>
    <w:rsid w:val="0077724E"/>
    <w:rsid w:val="00780B7C"/>
    <w:rsid w:val="007901F1"/>
    <w:rsid w:val="007913AE"/>
    <w:rsid w:val="007913FE"/>
    <w:rsid w:val="00791A95"/>
    <w:rsid w:val="007920DA"/>
    <w:rsid w:val="0079703C"/>
    <w:rsid w:val="007A4F5C"/>
    <w:rsid w:val="007A62A7"/>
    <w:rsid w:val="007A6A6D"/>
    <w:rsid w:val="007B1E34"/>
    <w:rsid w:val="007B29E4"/>
    <w:rsid w:val="007B2BC5"/>
    <w:rsid w:val="007B513B"/>
    <w:rsid w:val="007C07FA"/>
    <w:rsid w:val="007C36DA"/>
    <w:rsid w:val="007D1041"/>
    <w:rsid w:val="007D368E"/>
    <w:rsid w:val="007D4673"/>
    <w:rsid w:val="007D6B5F"/>
    <w:rsid w:val="007E39FB"/>
    <w:rsid w:val="007E449E"/>
    <w:rsid w:val="007E7592"/>
    <w:rsid w:val="007F1ACC"/>
    <w:rsid w:val="00804C8F"/>
    <w:rsid w:val="0081024A"/>
    <w:rsid w:val="0081173F"/>
    <w:rsid w:val="00813F58"/>
    <w:rsid w:val="0081502C"/>
    <w:rsid w:val="00821806"/>
    <w:rsid w:val="00835369"/>
    <w:rsid w:val="00835746"/>
    <w:rsid w:val="008361EC"/>
    <w:rsid w:val="008532E0"/>
    <w:rsid w:val="00855B97"/>
    <w:rsid w:val="00860DD2"/>
    <w:rsid w:val="008638F4"/>
    <w:rsid w:val="0086404F"/>
    <w:rsid w:val="008718FF"/>
    <w:rsid w:val="00873563"/>
    <w:rsid w:val="00874BA7"/>
    <w:rsid w:val="008752F0"/>
    <w:rsid w:val="00876F64"/>
    <w:rsid w:val="00884F9F"/>
    <w:rsid w:val="00887F59"/>
    <w:rsid w:val="00890BA7"/>
    <w:rsid w:val="00892AEF"/>
    <w:rsid w:val="008931D1"/>
    <w:rsid w:val="008936A9"/>
    <w:rsid w:val="0089499A"/>
    <w:rsid w:val="008976AF"/>
    <w:rsid w:val="008A12E0"/>
    <w:rsid w:val="008A5772"/>
    <w:rsid w:val="008A63D6"/>
    <w:rsid w:val="008B1AE3"/>
    <w:rsid w:val="008B2E42"/>
    <w:rsid w:val="008B6F3F"/>
    <w:rsid w:val="008B758B"/>
    <w:rsid w:val="008C036E"/>
    <w:rsid w:val="008C0DAA"/>
    <w:rsid w:val="008C2596"/>
    <w:rsid w:val="008C2E6F"/>
    <w:rsid w:val="008C42C6"/>
    <w:rsid w:val="008C7080"/>
    <w:rsid w:val="008D0428"/>
    <w:rsid w:val="008E0FD8"/>
    <w:rsid w:val="008F7D53"/>
    <w:rsid w:val="009063B6"/>
    <w:rsid w:val="00907FDA"/>
    <w:rsid w:val="00910F43"/>
    <w:rsid w:val="00916892"/>
    <w:rsid w:val="009567B6"/>
    <w:rsid w:val="00964747"/>
    <w:rsid w:val="0096751F"/>
    <w:rsid w:val="009761C6"/>
    <w:rsid w:val="00976A82"/>
    <w:rsid w:val="009926C9"/>
    <w:rsid w:val="00995266"/>
    <w:rsid w:val="009A4C3D"/>
    <w:rsid w:val="009A501E"/>
    <w:rsid w:val="009A509C"/>
    <w:rsid w:val="009B68B2"/>
    <w:rsid w:val="009C0051"/>
    <w:rsid w:val="009C1195"/>
    <w:rsid w:val="009C4D87"/>
    <w:rsid w:val="009D1CD4"/>
    <w:rsid w:val="009D492A"/>
    <w:rsid w:val="009F15E5"/>
    <w:rsid w:val="009F7482"/>
    <w:rsid w:val="00A03EA2"/>
    <w:rsid w:val="00A06C6E"/>
    <w:rsid w:val="00A110F5"/>
    <w:rsid w:val="00A12EF5"/>
    <w:rsid w:val="00A20730"/>
    <w:rsid w:val="00A2172B"/>
    <w:rsid w:val="00A223A9"/>
    <w:rsid w:val="00A37A5A"/>
    <w:rsid w:val="00A403CA"/>
    <w:rsid w:val="00A40A9E"/>
    <w:rsid w:val="00A425B4"/>
    <w:rsid w:val="00A50843"/>
    <w:rsid w:val="00A54570"/>
    <w:rsid w:val="00A6237F"/>
    <w:rsid w:val="00A63550"/>
    <w:rsid w:val="00A63832"/>
    <w:rsid w:val="00A713BE"/>
    <w:rsid w:val="00A721D0"/>
    <w:rsid w:val="00A73C19"/>
    <w:rsid w:val="00A768D5"/>
    <w:rsid w:val="00A77D32"/>
    <w:rsid w:val="00A85121"/>
    <w:rsid w:val="00A86266"/>
    <w:rsid w:val="00A91D09"/>
    <w:rsid w:val="00AB56FC"/>
    <w:rsid w:val="00AC0B5A"/>
    <w:rsid w:val="00AC38D6"/>
    <w:rsid w:val="00AC3926"/>
    <w:rsid w:val="00AC6EDC"/>
    <w:rsid w:val="00AD1995"/>
    <w:rsid w:val="00AD371F"/>
    <w:rsid w:val="00AD615F"/>
    <w:rsid w:val="00AE1079"/>
    <w:rsid w:val="00AE7247"/>
    <w:rsid w:val="00AF4069"/>
    <w:rsid w:val="00AF5754"/>
    <w:rsid w:val="00AF6D7E"/>
    <w:rsid w:val="00B108B0"/>
    <w:rsid w:val="00B12B3E"/>
    <w:rsid w:val="00B14226"/>
    <w:rsid w:val="00B156C6"/>
    <w:rsid w:val="00B31C30"/>
    <w:rsid w:val="00B34E77"/>
    <w:rsid w:val="00B570E3"/>
    <w:rsid w:val="00B75137"/>
    <w:rsid w:val="00B75F69"/>
    <w:rsid w:val="00B75FA1"/>
    <w:rsid w:val="00B87807"/>
    <w:rsid w:val="00B91B16"/>
    <w:rsid w:val="00B96FAE"/>
    <w:rsid w:val="00BA0784"/>
    <w:rsid w:val="00BA3F12"/>
    <w:rsid w:val="00BA7B82"/>
    <w:rsid w:val="00BD5BA8"/>
    <w:rsid w:val="00BE19CD"/>
    <w:rsid w:val="00BE48B5"/>
    <w:rsid w:val="00BF221F"/>
    <w:rsid w:val="00BF268D"/>
    <w:rsid w:val="00BF50CC"/>
    <w:rsid w:val="00C118B6"/>
    <w:rsid w:val="00C11F66"/>
    <w:rsid w:val="00C220AA"/>
    <w:rsid w:val="00C2758C"/>
    <w:rsid w:val="00C3376D"/>
    <w:rsid w:val="00C349CD"/>
    <w:rsid w:val="00C443DF"/>
    <w:rsid w:val="00C4562A"/>
    <w:rsid w:val="00C71387"/>
    <w:rsid w:val="00C75CF5"/>
    <w:rsid w:val="00C84BB3"/>
    <w:rsid w:val="00C95247"/>
    <w:rsid w:val="00C957F9"/>
    <w:rsid w:val="00C97424"/>
    <w:rsid w:val="00CA7527"/>
    <w:rsid w:val="00CB14EA"/>
    <w:rsid w:val="00CC3D90"/>
    <w:rsid w:val="00CC4922"/>
    <w:rsid w:val="00CD506C"/>
    <w:rsid w:val="00CE1558"/>
    <w:rsid w:val="00CF47EF"/>
    <w:rsid w:val="00D01174"/>
    <w:rsid w:val="00D0175E"/>
    <w:rsid w:val="00D030F9"/>
    <w:rsid w:val="00D04B44"/>
    <w:rsid w:val="00D06858"/>
    <w:rsid w:val="00D10CF7"/>
    <w:rsid w:val="00D13F78"/>
    <w:rsid w:val="00D17D33"/>
    <w:rsid w:val="00D20E8A"/>
    <w:rsid w:val="00D25BA5"/>
    <w:rsid w:val="00D27E29"/>
    <w:rsid w:val="00D33445"/>
    <w:rsid w:val="00D430FD"/>
    <w:rsid w:val="00D436B7"/>
    <w:rsid w:val="00D550D1"/>
    <w:rsid w:val="00D56492"/>
    <w:rsid w:val="00D57831"/>
    <w:rsid w:val="00D65269"/>
    <w:rsid w:val="00D721C8"/>
    <w:rsid w:val="00D86937"/>
    <w:rsid w:val="00D913C8"/>
    <w:rsid w:val="00D97141"/>
    <w:rsid w:val="00DB10DD"/>
    <w:rsid w:val="00DB1312"/>
    <w:rsid w:val="00DC084A"/>
    <w:rsid w:val="00DC0E06"/>
    <w:rsid w:val="00DC32BC"/>
    <w:rsid w:val="00DE1FE2"/>
    <w:rsid w:val="00DE3071"/>
    <w:rsid w:val="00DE5C98"/>
    <w:rsid w:val="00DF0304"/>
    <w:rsid w:val="00E01521"/>
    <w:rsid w:val="00E015B0"/>
    <w:rsid w:val="00E022B9"/>
    <w:rsid w:val="00E109F0"/>
    <w:rsid w:val="00E11FAF"/>
    <w:rsid w:val="00E2240F"/>
    <w:rsid w:val="00E238A4"/>
    <w:rsid w:val="00E2639E"/>
    <w:rsid w:val="00E30FA0"/>
    <w:rsid w:val="00E464E7"/>
    <w:rsid w:val="00E5103E"/>
    <w:rsid w:val="00E56C9C"/>
    <w:rsid w:val="00E607E2"/>
    <w:rsid w:val="00E645C0"/>
    <w:rsid w:val="00E64C28"/>
    <w:rsid w:val="00E80D64"/>
    <w:rsid w:val="00E9358F"/>
    <w:rsid w:val="00EA015F"/>
    <w:rsid w:val="00EA48E6"/>
    <w:rsid w:val="00EA7213"/>
    <w:rsid w:val="00EB7D48"/>
    <w:rsid w:val="00EC0E16"/>
    <w:rsid w:val="00EC4A54"/>
    <w:rsid w:val="00EC4F84"/>
    <w:rsid w:val="00ED62A5"/>
    <w:rsid w:val="00EE1391"/>
    <w:rsid w:val="00EE4628"/>
    <w:rsid w:val="00EE71AD"/>
    <w:rsid w:val="00F034D3"/>
    <w:rsid w:val="00F03829"/>
    <w:rsid w:val="00F115F2"/>
    <w:rsid w:val="00F11EC6"/>
    <w:rsid w:val="00F12346"/>
    <w:rsid w:val="00F126CA"/>
    <w:rsid w:val="00F1333F"/>
    <w:rsid w:val="00F136E5"/>
    <w:rsid w:val="00F2646C"/>
    <w:rsid w:val="00F37E80"/>
    <w:rsid w:val="00F5310C"/>
    <w:rsid w:val="00F63EB9"/>
    <w:rsid w:val="00F6414C"/>
    <w:rsid w:val="00F70498"/>
    <w:rsid w:val="00F70FB7"/>
    <w:rsid w:val="00F72F46"/>
    <w:rsid w:val="00F738A5"/>
    <w:rsid w:val="00F768BE"/>
    <w:rsid w:val="00F850D9"/>
    <w:rsid w:val="00F864CF"/>
    <w:rsid w:val="00FA4F3F"/>
    <w:rsid w:val="00FB139E"/>
    <w:rsid w:val="00FB28E4"/>
    <w:rsid w:val="00FB4AA6"/>
    <w:rsid w:val="00FB5040"/>
    <w:rsid w:val="00FB73A0"/>
    <w:rsid w:val="00FD3F10"/>
    <w:rsid w:val="00FD64BB"/>
    <w:rsid w:val="00FE1784"/>
    <w:rsid w:val="00FF38AD"/>
    <w:rsid w:val="00FF3947"/>
    <w:rsid w:val="00FF5C24"/>
    <w:rsid w:val="00FF5C36"/>
    <w:rsid w:val="00FF6F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06F23B3-E707-4515-9364-45BBF58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軟正黑體" w:hAnsiTheme="minorHAnsi" w:cstheme="minorBidi"/>
        <w:sz w:val="22"/>
        <w:szCs w:val="22"/>
        <w:lang w:val="en-US" w:eastAsia="zh-TW" w:bidi="ar-SA"/>
      </w:rPr>
    </w:rPrDefault>
    <w:pPrDefault>
      <w:pPr>
        <w:spacing w:line="4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91E"/>
    <w:rPr>
      <w:rFonts w:ascii="微軟正黑體" w:hAnsi="微軟正黑體" w:cs="微軟正黑體"/>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4069"/>
    <w:pPr>
      <w:spacing w:line="240" w:lineRule="auto"/>
    </w:pPr>
    <w:rPr>
      <w:rFonts w:eastAsiaTheme="minorEastAsia"/>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0843"/>
    <w:pPr>
      <w:tabs>
        <w:tab w:val="center" w:pos="4320"/>
        <w:tab w:val="right" w:pos="8640"/>
      </w:tabs>
      <w:spacing w:line="240" w:lineRule="auto"/>
    </w:pPr>
  </w:style>
  <w:style w:type="character" w:customStyle="1" w:styleId="a5">
    <w:name w:val="頁首 字元"/>
    <w:basedOn w:val="a0"/>
    <w:link w:val="a4"/>
    <w:uiPriority w:val="99"/>
    <w:rsid w:val="00A50843"/>
    <w:rPr>
      <w:rFonts w:ascii="微軟正黑體" w:hAnsi="微軟正黑體" w:cs="微軟正黑體"/>
      <w:color w:val="000000"/>
      <w:kern w:val="2"/>
      <w:sz w:val="24"/>
    </w:rPr>
  </w:style>
  <w:style w:type="paragraph" w:styleId="a6">
    <w:name w:val="footer"/>
    <w:basedOn w:val="a"/>
    <w:link w:val="a7"/>
    <w:uiPriority w:val="99"/>
    <w:unhideWhenUsed/>
    <w:rsid w:val="00A50843"/>
    <w:pPr>
      <w:tabs>
        <w:tab w:val="center" w:pos="4320"/>
        <w:tab w:val="right" w:pos="8640"/>
      </w:tabs>
      <w:spacing w:line="240" w:lineRule="auto"/>
    </w:pPr>
  </w:style>
  <w:style w:type="character" w:customStyle="1" w:styleId="a7">
    <w:name w:val="頁尾 字元"/>
    <w:basedOn w:val="a0"/>
    <w:link w:val="a6"/>
    <w:uiPriority w:val="99"/>
    <w:rsid w:val="00A50843"/>
    <w:rPr>
      <w:rFonts w:ascii="微軟正黑體" w:hAnsi="微軟正黑體" w:cs="微軟正黑體"/>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吳璧純</dc:creator>
  <cp:keywords/>
  <dc:description/>
  <cp:lastModifiedBy>user</cp:lastModifiedBy>
  <cp:revision>2</cp:revision>
  <cp:lastPrinted>2021-09-12T14:05:00Z</cp:lastPrinted>
  <dcterms:created xsi:type="dcterms:W3CDTF">2021-09-23T03:43:00Z</dcterms:created>
  <dcterms:modified xsi:type="dcterms:W3CDTF">2021-09-23T03:43:00Z</dcterms:modified>
</cp:coreProperties>
</file>