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111.05.26前導課程評鑑分享</w:t>
          </w:r>
        </w:sdtContent>
      </w:sdt>
    </w:p>
    <w:tbl>
      <w:tblPr>
        <w:tblStyle w:val="Table1"/>
        <w:tblW w:w="1054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3"/>
        <w:gridCol w:w="5264"/>
        <w:tblGridChange w:id="0">
          <w:tblGrid>
            <w:gridCol w:w="5283"/>
            <w:gridCol w:w="5264"/>
          </w:tblGrid>
        </w:tblGridChange>
      </w:tblGrid>
      <w:tr>
        <w:trPr>
          <w:cantSplit w:val="0"/>
          <w:trHeight w:val="48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right="-1054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5480" cy="1718310"/>
                  <wp:effectExtent b="0" l="0" r="0" t="0"/>
                  <wp:docPr id="2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480" cy="1718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ind w:right="-1054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介壽國中建廷校長說明分享流程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right="-1054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蘭州國中分享彈性課程歷程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1100" cy="1724402"/>
                  <wp:effectExtent b="0" l="0" r="0" t="0"/>
                  <wp:docPr id="25" name="image16.jpg"/>
                  <a:graphic>
                    <a:graphicData uri="http://schemas.openxmlformats.org/drawingml/2006/picture">
                      <pic:pic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100" cy="1724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39207" cy="1724401"/>
                  <wp:effectExtent b="0" l="0" r="0" t="0"/>
                  <wp:docPr id="28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207" cy="17244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1100" cy="1724402"/>
                  <wp:effectExtent b="0" l="0" r="0" t="0"/>
                  <wp:docPr id="31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100" cy="1724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蘭州國中分享學生在彈性課程的表現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余霖聘督給蘭州國中的回饋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4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3"/>
        <w:gridCol w:w="5264"/>
        <w:tblGridChange w:id="0">
          <w:tblGrid>
            <w:gridCol w:w="5283"/>
            <w:gridCol w:w="5264"/>
          </w:tblGrid>
        </w:tblGridChange>
      </w:tblGrid>
      <w:tr>
        <w:trPr>
          <w:cantSplit w:val="0"/>
          <w:trHeight w:val="49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190875" cy="1724002"/>
                  <wp:effectExtent b="0" l="0" r="0" t="0"/>
                  <wp:docPr id="2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17240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191569" cy="1724400"/>
                  <wp:effectExtent b="0" l="0" r="0" t="0"/>
                  <wp:docPr id="30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69" cy="172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介壽國中分享彈性課程評鑑報告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介壽國中分享學生作品及對課程的</w:t>
            </w:r>
          </w:p>
          <w:p w:rsidR="00000000" w:rsidDel="00000000" w:rsidP="00000000" w:rsidRDefault="00000000" w:rsidRPr="00000000" w14:paraId="00000013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回饋</w:t>
            </w:r>
          </w:p>
        </w:tc>
      </w:tr>
      <w:tr>
        <w:trPr>
          <w:cantSplit w:val="0"/>
          <w:trHeight w:val="49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17545" cy="1814195"/>
                  <wp:effectExtent b="0" l="0" r="0" t="0"/>
                  <wp:docPr id="29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545" cy="1814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9189" cy="1738471"/>
                  <wp:effectExtent b="0" l="0" r="0" t="0"/>
                  <wp:docPr id="33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189" cy="17384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余霖聘督給介壽國中的回饋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南門國中分享彈性課程評鑑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4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3"/>
        <w:gridCol w:w="5264"/>
        <w:tblGridChange w:id="0">
          <w:tblGrid>
            <w:gridCol w:w="5283"/>
            <w:gridCol w:w="5264"/>
          </w:tblGrid>
        </w:tblGridChange>
      </w:tblGrid>
      <w:tr>
        <w:trPr>
          <w:cantSplit w:val="0"/>
          <w:trHeight w:val="48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20151" cy="1724400"/>
                  <wp:effectExtent b="0" l="0" r="0" t="0"/>
                  <wp:docPr id="3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151" cy="172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184084" cy="1731924"/>
                  <wp:effectExtent b="0" l="0" r="0" t="0"/>
                  <wp:docPr id="36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084" cy="17319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南門國中分享經由協同者評鑑發現</w:t>
            </w:r>
          </w:p>
          <w:p w:rsidR="00000000" w:rsidDel="00000000" w:rsidP="00000000" w:rsidRDefault="00000000" w:rsidRPr="00000000" w14:paraId="0000001F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的問題及改善方法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葉興華教授給南門國中的回饋</w:t>
            </w:r>
          </w:p>
        </w:tc>
      </w:tr>
      <w:tr>
        <w:trPr>
          <w:cantSplit w:val="0"/>
          <w:trHeight w:val="48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1099" cy="1724402"/>
                  <wp:effectExtent b="0" l="0" r="0" t="0"/>
                  <wp:docPr id="3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99" cy="17244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15871" cy="1733595"/>
                  <wp:effectExtent b="0" l="0" r="0" t="0"/>
                  <wp:docPr id="35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71" cy="1733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金華國中分享彈性課程實施歷程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金華國中說明課程設計與學生表現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4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3"/>
        <w:gridCol w:w="5264"/>
        <w:tblGridChange w:id="0">
          <w:tblGrid>
            <w:gridCol w:w="5283"/>
            <w:gridCol w:w="5264"/>
          </w:tblGrid>
        </w:tblGridChange>
      </w:tblGrid>
      <w:tr>
        <w:trPr>
          <w:cantSplit w:val="0"/>
          <w:trHeight w:val="48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01098" cy="1724401"/>
                  <wp:effectExtent b="0" l="0" r="0" t="0"/>
                  <wp:docPr id="37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98" cy="17244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198556" cy="1724400"/>
                  <wp:effectExtent b="0" l="0" r="0" t="0"/>
                  <wp:docPr id="38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556" cy="172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葉興華教授給金華國中的回饋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綜合座談請各校給予分享的四校回饋</w:t>
            </w:r>
          </w:p>
        </w:tc>
      </w:tr>
      <w:tr>
        <w:trPr>
          <w:cantSplit w:val="0"/>
          <w:trHeight w:val="48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191571" cy="1724401"/>
                  <wp:effectExtent b="0" l="0" r="0" t="0"/>
                  <wp:docPr id="3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71" cy="17244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</w:rPr>
              <w:drawing>
                <wp:inline distB="0" distT="0" distL="0" distR="0">
                  <wp:extent cx="3214530" cy="1732862"/>
                  <wp:effectExtent b="0" l="0" r="0" t="0"/>
                  <wp:docPr id="40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530" cy="1732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陳淑君課督對四校報告的回饋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right="-1054"/>
              <w:jc w:val="both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葉興華教授對四校分享的綜合講評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一、對蘭州國中的回饋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葉興華教授：</w:t>
      </w:r>
    </w:p>
    <w:p w:rsidR="00000000" w:rsidDel="00000000" w:rsidP="00000000" w:rsidRDefault="00000000" w:rsidRPr="00000000" w14:paraId="0000003B">
      <w:pPr>
        <w:ind w:left="283" w:hanging="281"/>
        <w:rPr/>
      </w:pPr>
      <w:r w:rsidDel="00000000" w:rsidR="00000000" w:rsidRPr="00000000">
        <w:rPr>
          <w:rtl w:val="0"/>
        </w:rPr>
        <w:t xml:space="preserve">1. 從報告中可發現蘭州國中有明確落實課程評鑑，從評量規準做出發，帶領學校老師檢討課程，很少有學校能達成。</w:t>
      </w:r>
    </w:p>
    <w:p w:rsidR="00000000" w:rsidDel="00000000" w:rsidP="00000000" w:rsidRDefault="00000000" w:rsidRPr="00000000" w14:paraId="0000003C">
      <w:pPr>
        <w:ind w:left="284" w:hanging="286"/>
        <w:rPr/>
      </w:pPr>
      <w:r w:rsidDel="00000000" w:rsidR="00000000" w:rsidRPr="00000000">
        <w:rPr>
          <w:rtl w:val="0"/>
        </w:rPr>
        <w:t xml:space="preserve">2. 今年活化教學群組把重點放在表現任務評定尺規的擬定，用評量規準來引導教學和課程結構，教師依據進行訂好的標準評量，可以自我檢核課程教學內容。對於學生來說，事先公布評量規準，較容易找到努力的方向，引導學生自主學習。</w:t>
      </w:r>
    </w:p>
    <w:p w:rsidR="00000000" w:rsidDel="00000000" w:rsidP="00000000" w:rsidRDefault="00000000" w:rsidRPr="00000000" w14:paraId="0000003D">
      <w:pPr>
        <w:ind w:left="283" w:hanging="283"/>
        <w:rPr/>
      </w:pPr>
      <w:r w:rsidDel="00000000" w:rsidR="00000000" w:rsidRPr="00000000">
        <w:rPr>
          <w:rtl w:val="0"/>
        </w:rPr>
        <w:t xml:space="preserve">3. 訂定評定規準有助於課程分析，幫助教師校正教學方式，增進教師帶得走能力，產生牽引的效果。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余霖聘督：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從彈性課程規劃可看出相當符合蘭州國中的願景，而後的課程發展也和學校願景做結合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可看出評量規準對課綱改革的重要性，蘭州國中評量尺規的發展很紮實。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評量規準可作為師生的教與學共同指引，可隨時檢視是否有符合規準，作為明確依據。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蘭州國中的課程評鑑碰觸到學校本位的評鑑，像是學生辯論的部分，會依學生程度來調整課程規劃，屬於一種形成性評鑑，也為後面的總結性評鑑帶來正面的影響。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希望每所學校除了本次分享的課程外，校內還有其他課程也達到同樣水準。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二、對介壽國中的回饋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葉興華教授：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課程評鑑的目的是為了創造、改進課程。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彈性課程的規劃很細緻，包括評鑑的時機、要收集的資料等。靜儀老師有提到會根據前幾單元的評鑑去改進後面單元的評鑑。好的評鑑不只是有證明成效的功能，更要發揮改進的功能。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個小建議，我們依據課程評鑑的結果發現並形成論點，應該要回頭對應到評鑑規準。等所有受目標約束的評量規準都達成後，才再加上其他不受目標約束的評鑑。可用後設評鑑，增訂其他原本沒有考量到的評量規準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余霖聘督：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「服路壽喜」課程名稱富涵文化意義，給予福祿壽喜做出新的詮釋，很正向、 典雅。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從介壽國中的課程發展歷程，可看出彈性課程是過去課程的延伸，新課綱精神轉化，讓課程在學校紮根，不因計劃的結束而消失。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介壽國中專業研發、平等對話的學校文化，有助於課程研發。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社群裡的教師能對課程評鑑有興趣，把評鑑結果當成解決問題的依據，而不只是當成上級的要求。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報告中提到評鑑後有調整修改，期待之後會對課程做具體的修正。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三、對南門國中的回饋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葉興華教授：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課程評鑑分為外部評鑑和內部評鑑，對學校來說，外部評鑑大部分是被動參與的。鼓勵學校能主動參與課程計劃，回饋可當成評鑑依據。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報告中四個課程評鑑指標形式不太一致，有些是有方向性的。不同形式的指標會影響評鑑工具的形成，進一步影響論點的用語。課程評鑑目標不一樣，訂定規準重點也會所不同。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訂定的指標要先完成，沒有滿足事先訂定的指標，則表示未依據目標去做評鑑。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余霖聘督：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課程發展建立於課程發展委員會專業的對話，也經歷長時間的共備。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課程規劃中，對學生互評做了很好的後設分析，學生角色轉換使得學習品質更好。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有提出改善策略及方法，已解決大部分的問題。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評量尺規所累積的專業知能會展現在校本課程評鑑的指標上，增加教師的成就感。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對於校內減課之事，應謹慎為之，先建立校內減課的規準，減少困擾。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四、對金華國中回饋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葉興華教授：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課程評鑑讓教師和行政端面臨更多的挑戰，但可協助課程持續發展，幫助學生開拓更寬廣的視野。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金華國中採由下而上評鑑的模式，如果能嘗試不同評鑑工具有助於找到更多課程的優缺點。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余霖聘督：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金華國中課程以設計思考為工具，有一定的難度。但經過200次以上的共備，從報告上來看，相當成熟。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課程評鑑是希望課程越來越好，進一步產生實質效益。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若教師非社群一份子，拿到教材會授課嗎？應研究如何讓好的課程在學校永續發展，點燃教師參與的動機，讓課程永續傳承。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課程評鑑有助於整體課程計劃的反思、減少師生負擔。校本課程評鑑未來應採激勵制，才能洗刷評鑑污名化。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五、綜合座談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陳淑君課督：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評量規準對學生的自主學習有很大的幫助。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教育局的各項計劃都是為了協助各校課程發展更加完整，111學年度的目標是課程精緻化、再生化。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建成國中黃啟清校長：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蘭州國中從生活中的議題，拆解了防災教育和核電問題，從評量規準中看到報告的方向。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介壽國中的「服路壽喜」讓我們看到路跑活動、服務學習跟學校原本的課程結合，還有美感生活的融入。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南門國中把跨域的國文和表藝結合，從小劇本的形成到整個戲劇的演出。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金華國中拆解成設計思考、減塑議題及探究實作概念的分析，透過長時間的社群共備，找出適合學生的評量規準。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重慶國中林淑君校長：四校課程設計和評鑑歷程值得借鏡，教師要花較多的共備時間，並仰頼行政端的協助，讓學校課程能融入素養導向和生活化情境。透過各個學校的分享跟研討，有很大的收獲。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民權國中教務主任：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發展學校的特色課程，需經過縝密的邏輯思辯和課程設計。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教學卓越學者專家也指出，要思考如何利用課程評鑑能更具體、有效地評估學生的學習表現。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葉興華教授：希望不管是分享的人還是聆聽的人都能從彼此的身上相互學習。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4F2AC3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jpg"/><Relationship Id="rId11" Type="http://schemas.openxmlformats.org/officeDocument/2006/relationships/image" Target="media/image5.jpg"/><Relationship Id="rId22" Type="http://schemas.openxmlformats.org/officeDocument/2006/relationships/image" Target="media/image10.jpg"/><Relationship Id="rId10" Type="http://schemas.openxmlformats.org/officeDocument/2006/relationships/image" Target="media/image8.jpg"/><Relationship Id="rId21" Type="http://schemas.openxmlformats.org/officeDocument/2006/relationships/image" Target="media/image6.jpg"/><Relationship Id="rId13" Type="http://schemas.openxmlformats.org/officeDocument/2006/relationships/image" Target="media/image4.jpg"/><Relationship Id="rId12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3.jpg"/><Relationship Id="rId14" Type="http://schemas.openxmlformats.org/officeDocument/2006/relationships/image" Target="media/image7.jpg"/><Relationship Id="rId17" Type="http://schemas.openxmlformats.org/officeDocument/2006/relationships/image" Target="media/image1.jpg"/><Relationship Id="rId16" Type="http://schemas.openxmlformats.org/officeDocument/2006/relationships/image" Target="media/image15.jpg"/><Relationship Id="rId5" Type="http://schemas.openxmlformats.org/officeDocument/2006/relationships/styles" Target="styles.xml"/><Relationship Id="rId19" Type="http://schemas.openxmlformats.org/officeDocument/2006/relationships/image" Target="media/image11.jpg"/><Relationship Id="rId6" Type="http://schemas.openxmlformats.org/officeDocument/2006/relationships/customXml" Target="../customXML/item1.xml"/><Relationship Id="rId18" Type="http://schemas.openxmlformats.org/officeDocument/2006/relationships/image" Target="media/image14.jpg"/><Relationship Id="rId7" Type="http://schemas.openxmlformats.org/officeDocument/2006/relationships/image" Target="media/image2.jpg"/><Relationship Id="rId8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X7wSb9GlBuStQoAVl7JdjF4VUg==">AMUW2mVzTLDDM8rQSt1R1fjtPIUbY4kFhYyMBilnrX4UmVjOOK3f1YvHWSoHQTfpCiMkrvB+kOsPJgkhDbk9QawUjFgkIaRB/vUDNFKyomUojczAUTPSpuOTJgIXTJoo9+L49tWBqf7xQ+0oOfFbjRHgHpTorOAa8tw1u0DZPWSUFczVQWj9GCk=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2022-05-27T00:40:00Z</dcterms:created>
  <dc:creator>林育綺</dc:creator>
</cp:coreProperties>
</file>